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26" w:rsidRPr="00520939" w:rsidRDefault="00E62A26" w:rsidP="00E62A26">
      <w:pPr>
        <w:pStyle w:val="1"/>
        <w:spacing w:line="384" w:lineRule="auto"/>
        <w:jc w:val="both"/>
        <w:rPr>
          <w:rFonts w:ascii="Arial" w:hAnsi="Arial" w:cs="Arial"/>
          <w:b/>
          <w:sz w:val="22"/>
          <w:szCs w:val="22"/>
          <w:lang w:val="uk-UA"/>
        </w:rPr>
      </w:pPr>
      <w:r>
        <w:rPr>
          <w:noProof/>
          <w:lang w:val="ru-RU" w:eastAsia="ru-RU"/>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390650" cy="59251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5925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0939">
        <w:rPr>
          <w:rFonts w:ascii="Arial" w:hAnsi="Arial" w:cs="Arial"/>
          <w:b/>
          <w:sz w:val="22"/>
          <w:szCs w:val="22"/>
          <w:lang w:val="uk-UA"/>
        </w:rPr>
        <w:t>АУДИТОРСЬКИЙ ВИСНОВОК (ЗВІТ НЕЗАЛЕЖНОГО АУДИТОРА)</w:t>
      </w:r>
    </w:p>
    <w:p w:rsidR="00E62A26" w:rsidRPr="00520939" w:rsidRDefault="00E62A26" w:rsidP="00E62A26">
      <w:pPr>
        <w:spacing w:line="384" w:lineRule="auto"/>
        <w:jc w:val="both"/>
        <w:rPr>
          <w:rFonts w:ascii="Arial" w:hAnsi="Arial" w:cs="Arial"/>
          <w:b/>
          <w:lang w:val="uk-UA"/>
        </w:rPr>
      </w:pPr>
      <w:r w:rsidRPr="00520939">
        <w:rPr>
          <w:rFonts w:ascii="Arial" w:hAnsi="Arial" w:cs="Arial"/>
          <w:b/>
          <w:lang w:val="uk-UA"/>
        </w:rPr>
        <w:t>ЩОДО ФІНАНСОВОЇ ЗВІТНОСТІ</w:t>
      </w:r>
      <w:r w:rsidRPr="006C68EB">
        <w:rPr>
          <w:rFonts w:ascii="Arial" w:hAnsi="Arial" w:cs="Arial"/>
          <w:b/>
          <w:lang w:val="ru-RU"/>
        </w:rPr>
        <w:t xml:space="preserve"> </w:t>
      </w:r>
      <w:r w:rsidRPr="00520939">
        <w:rPr>
          <w:rFonts w:ascii="Arial" w:hAnsi="Arial" w:cs="Arial"/>
          <w:b/>
          <w:lang w:val="uk-UA"/>
        </w:rPr>
        <w:t>ПУБЛІЧНОГО АКЦІОНЕРНОГО</w:t>
      </w:r>
      <w:r w:rsidRPr="006C68EB">
        <w:rPr>
          <w:rFonts w:ascii="Arial" w:hAnsi="Arial" w:cs="Arial"/>
          <w:b/>
          <w:lang w:val="ru-RU"/>
        </w:rPr>
        <w:t xml:space="preserve"> </w:t>
      </w:r>
      <w:r w:rsidRPr="006C68EB">
        <w:rPr>
          <w:rFonts w:ascii="Arial" w:hAnsi="Arial" w:cs="Arial"/>
          <w:b/>
          <w:spacing w:val="-2"/>
          <w:lang w:val="uk-UA"/>
        </w:rPr>
        <w:t>ТОВАРИСТВА</w:t>
      </w:r>
      <w:r w:rsidRPr="006C68EB">
        <w:rPr>
          <w:rFonts w:ascii="Arial" w:hAnsi="Arial" w:cs="Arial"/>
          <w:b/>
          <w:spacing w:val="-2"/>
          <w:lang w:val="ru-RU"/>
        </w:rPr>
        <w:t xml:space="preserve"> </w:t>
      </w:r>
      <w:r w:rsidRPr="006C68EB">
        <w:rPr>
          <w:rFonts w:ascii="Arial" w:hAnsi="Arial" w:cs="Arial"/>
          <w:b/>
          <w:spacing w:val="-2"/>
          <w:lang w:val="uk-UA"/>
        </w:rPr>
        <w:t>«БОРТНИЦЬКИЙ  ДОСЛІДНО-МЕХАНІЧНИЙ ЗАВОД»</w:t>
      </w:r>
    </w:p>
    <w:p w:rsidR="00E62A26" w:rsidRPr="00BE090D" w:rsidRDefault="00E62A26" w:rsidP="00E62A26">
      <w:pPr>
        <w:spacing w:before="160" w:line="360" w:lineRule="auto"/>
        <w:rPr>
          <w:rFonts w:ascii="Arial" w:hAnsi="Arial" w:cs="Arial"/>
          <w:lang w:val="uk-UA"/>
        </w:rPr>
      </w:pPr>
    </w:p>
    <w:p w:rsidR="00E62A26" w:rsidRPr="00BE090D" w:rsidRDefault="00E62A26" w:rsidP="00E62A26">
      <w:pPr>
        <w:spacing w:before="160" w:line="384" w:lineRule="auto"/>
        <w:rPr>
          <w:rFonts w:ascii="Arial" w:hAnsi="Arial" w:cs="Arial"/>
          <w:b/>
          <w:i/>
          <w:sz w:val="20"/>
          <w:szCs w:val="20"/>
          <w:lang w:val="uk-UA"/>
        </w:rPr>
      </w:pPr>
      <w:r w:rsidRPr="00BE090D">
        <w:rPr>
          <w:rFonts w:ascii="Arial" w:hAnsi="Arial" w:cs="Arial"/>
          <w:b/>
          <w:i/>
          <w:sz w:val="20"/>
          <w:szCs w:val="20"/>
          <w:lang w:val="uk-UA"/>
        </w:rPr>
        <w:t xml:space="preserve">Власникам цінних паперів  та керівництву  Публічного акціонерного товариства </w:t>
      </w:r>
      <w:r w:rsidRPr="00BE090D">
        <w:rPr>
          <w:rFonts w:ascii="Arial" w:hAnsi="Arial" w:cs="Arial"/>
          <w:b/>
          <w:i/>
          <w:sz w:val="20"/>
          <w:szCs w:val="20"/>
          <w:lang w:val="uk-UA"/>
        </w:rPr>
        <w:tab/>
        <w:t>«</w:t>
      </w:r>
      <w:proofErr w:type="spellStart"/>
      <w:r w:rsidRPr="00BE090D">
        <w:rPr>
          <w:rFonts w:ascii="Arial" w:hAnsi="Arial" w:cs="Arial"/>
          <w:b/>
          <w:i/>
          <w:sz w:val="20"/>
          <w:szCs w:val="20"/>
          <w:lang w:val="uk-UA"/>
        </w:rPr>
        <w:t>Бортницький</w:t>
      </w:r>
      <w:proofErr w:type="spellEnd"/>
      <w:r w:rsidRPr="00BE090D">
        <w:rPr>
          <w:rFonts w:ascii="Arial" w:hAnsi="Arial" w:cs="Arial"/>
          <w:b/>
          <w:i/>
          <w:sz w:val="20"/>
          <w:szCs w:val="20"/>
          <w:lang w:val="uk-UA"/>
        </w:rPr>
        <w:t xml:space="preserve"> дослідно-механічний завод» </w:t>
      </w:r>
    </w:p>
    <w:p w:rsidR="00E62A26" w:rsidRPr="00BE090D" w:rsidRDefault="00E62A26" w:rsidP="00E62A26">
      <w:pPr>
        <w:spacing w:before="160" w:line="360" w:lineRule="auto"/>
        <w:jc w:val="both"/>
        <w:rPr>
          <w:rFonts w:ascii="Arial" w:hAnsi="Arial" w:cs="Arial"/>
          <w:lang w:val="uk-UA"/>
        </w:rPr>
      </w:pPr>
    </w:p>
    <w:p w:rsidR="00E62A26" w:rsidRPr="0004496F" w:rsidRDefault="00E62A26" w:rsidP="00E62A26">
      <w:pPr>
        <w:spacing w:before="160" w:line="360" w:lineRule="auto"/>
        <w:rPr>
          <w:rFonts w:ascii="Arial" w:hAnsi="Arial" w:cs="Arial"/>
          <w:b/>
          <w:sz w:val="20"/>
          <w:szCs w:val="20"/>
          <w:lang w:val="uk-UA"/>
        </w:rPr>
      </w:pPr>
      <w:r w:rsidRPr="0004496F">
        <w:rPr>
          <w:rFonts w:ascii="Arial" w:hAnsi="Arial" w:cs="Arial"/>
          <w:b/>
          <w:sz w:val="20"/>
          <w:szCs w:val="20"/>
          <w:lang w:val="uk-UA"/>
        </w:rPr>
        <w:t xml:space="preserve">ЗВІТ ЩОДО ФІНАНСОВОЇ ЗВІТНОСТІ </w:t>
      </w:r>
    </w:p>
    <w:p w:rsidR="00E62A26" w:rsidRPr="000E2A5D" w:rsidRDefault="00E62A26" w:rsidP="00E62A26">
      <w:pPr>
        <w:spacing w:before="360" w:line="384" w:lineRule="auto"/>
        <w:jc w:val="both"/>
        <w:rPr>
          <w:rFonts w:ascii="Arial" w:hAnsi="Arial" w:cs="Arial"/>
          <w:sz w:val="21"/>
          <w:szCs w:val="21"/>
          <w:lang w:val="uk-UA"/>
        </w:rPr>
      </w:pPr>
      <w:r w:rsidRPr="000E2A5D">
        <w:rPr>
          <w:rFonts w:ascii="Arial" w:hAnsi="Arial" w:cs="Arial"/>
          <w:sz w:val="21"/>
          <w:szCs w:val="21"/>
          <w:lang w:val="uk-UA"/>
        </w:rPr>
        <w:t>Публічне акціонерне товариство «</w:t>
      </w:r>
      <w:proofErr w:type="spellStart"/>
      <w:r w:rsidRPr="000E2A5D">
        <w:rPr>
          <w:rFonts w:ascii="Arial" w:hAnsi="Arial" w:cs="Arial"/>
          <w:sz w:val="21"/>
          <w:szCs w:val="21"/>
          <w:lang w:val="uk-UA"/>
        </w:rPr>
        <w:t>Бортницький</w:t>
      </w:r>
      <w:proofErr w:type="spellEnd"/>
      <w:r w:rsidRPr="000E2A5D">
        <w:rPr>
          <w:rFonts w:ascii="Arial" w:hAnsi="Arial" w:cs="Arial"/>
          <w:sz w:val="21"/>
          <w:szCs w:val="21"/>
          <w:lang w:val="uk-UA"/>
        </w:rPr>
        <w:t xml:space="preserve"> дослідно-механічний завод» (далі – Товариство) зареєстроване в Єдиному державному реєстрі підприємств та організацій України (ідентифікаційний код 21618158). Місцезнаходження Товариства: Україна, </w:t>
      </w:r>
      <w:smartTag w:uri="urn:schemas-microsoft-com:office:smarttags" w:element="metricconverter">
        <w:smartTagPr>
          <w:attr w:name="ProductID" w:val="02088, м"/>
        </w:smartTagPr>
        <w:r w:rsidRPr="000E2A5D">
          <w:rPr>
            <w:rFonts w:ascii="Arial" w:hAnsi="Arial" w:cs="Arial"/>
            <w:sz w:val="21"/>
            <w:szCs w:val="21"/>
            <w:lang w:val="uk-UA"/>
          </w:rPr>
          <w:t>02088, м</w:t>
        </w:r>
      </w:smartTag>
      <w:r w:rsidRPr="000E2A5D">
        <w:rPr>
          <w:rFonts w:ascii="Arial" w:hAnsi="Arial" w:cs="Arial"/>
          <w:sz w:val="21"/>
          <w:szCs w:val="21"/>
          <w:lang w:val="uk-UA"/>
        </w:rPr>
        <w:t>. Київ, вул. Леніна, 64. Дата державної реєстрації Товариства 11.12.1997 року (свідоцтво про державну реєстрацію юридичної особи А01 № 345309, видане Дарницькою районною у м. Києві державною адміністрацією). Ми провели аудит фінансової звітності Товариства за 201</w:t>
      </w:r>
      <w:r>
        <w:rPr>
          <w:rFonts w:ascii="Arial" w:hAnsi="Arial" w:cs="Arial"/>
          <w:sz w:val="21"/>
          <w:szCs w:val="21"/>
          <w:lang w:val="uk-UA"/>
        </w:rPr>
        <w:t>5</w:t>
      </w:r>
      <w:r w:rsidRPr="000E2A5D">
        <w:rPr>
          <w:rFonts w:ascii="Arial" w:hAnsi="Arial" w:cs="Arial"/>
          <w:sz w:val="21"/>
          <w:szCs w:val="21"/>
          <w:lang w:val="uk-UA"/>
        </w:rPr>
        <w:t xml:space="preserve"> рік, що додається, яка складається з балансу станом на 31 грудня 201</w:t>
      </w:r>
      <w:r>
        <w:rPr>
          <w:rFonts w:ascii="Arial" w:hAnsi="Arial" w:cs="Arial"/>
          <w:sz w:val="21"/>
          <w:szCs w:val="21"/>
          <w:lang w:val="uk-UA"/>
        </w:rPr>
        <w:t>5</w:t>
      </w:r>
      <w:r w:rsidRPr="000E2A5D">
        <w:rPr>
          <w:rFonts w:ascii="Arial" w:hAnsi="Arial" w:cs="Arial"/>
          <w:sz w:val="21"/>
          <w:szCs w:val="21"/>
          <w:lang w:val="uk-UA"/>
        </w:rPr>
        <w:t xml:space="preserve"> року, звіту про фінансові результати (про сукупний дохід), звіту про рух грошових коштів (за прямим методом), звіту про власний капітал за рік,  який закінчився на зазначену дату, та приміток до річної фінансової звітності.</w:t>
      </w:r>
    </w:p>
    <w:p w:rsidR="00E62A26" w:rsidRPr="000E2A5D" w:rsidRDefault="00E62A26" w:rsidP="00E62A26">
      <w:pPr>
        <w:spacing w:before="360" w:line="384" w:lineRule="auto"/>
        <w:ind w:left="2410"/>
        <w:jc w:val="both"/>
        <w:rPr>
          <w:rFonts w:ascii="Arial" w:hAnsi="Arial" w:cs="Arial"/>
          <w:sz w:val="21"/>
          <w:szCs w:val="21"/>
          <w:lang w:val="uk-UA"/>
        </w:rPr>
      </w:pPr>
      <w:r w:rsidRPr="000E2A5D">
        <w:rPr>
          <w:rFonts w:ascii="Arial" w:hAnsi="Arial" w:cs="Arial"/>
          <w:sz w:val="21"/>
          <w:szCs w:val="21"/>
          <w:lang w:val="uk-UA"/>
        </w:rPr>
        <w:t>Застосовною концептуальною основою фінансової звітності Товариства є Закон України «Про бухгалтерський облік та фінансову звітність в Україні» та Міжнародні стандарти фінансової звітності, які офіційно оприлюднені на веб-сайті Міністерства фінансів України.</w:t>
      </w:r>
    </w:p>
    <w:p w:rsidR="00E62A26" w:rsidRPr="00BE090D" w:rsidRDefault="00E62A26" w:rsidP="00E62A26">
      <w:pPr>
        <w:spacing w:line="408" w:lineRule="auto"/>
        <w:ind w:right="332" w:firstLine="720"/>
        <w:jc w:val="both"/>
        <w:rPr>
          <w:rFonts w:ascii="Arial" w:hAnsi="Arial" w:cs="Arial"/>
          <w:b/>
          <w:i/>
          <w:lang w:val="uk-UA"/>
        </w:rPr>
      </w:pPr>
      <w:r w:rsidRPr="00BE090D">
        <w:rPr>
          <w:rFonts w:ascii="Arial" w:hAnsi="Arial" w:cs="Arial"/>
          <w:b/>
          <w:i/>
          <w:lang w:val="uk-UA"/>
        </w:rPr>
        <w:br w:type="page"/>
      </w:r>
    </w:p>
    <w:p w:rsidR="00E62A26" w:rsidRPr="000E2A5D" w:rsidRDefault="00E62A26" w:rsidP="00E62A26">
      <w:pPr>
        <w:spacing w:before="120" w:line="408" w:lineRule="auto"/>
        <w:ind w:left="2410" w:right="332"/>
        <w:jc w:val="both"/>
        <w:rPr>
          <w:rFonts w:ascii="Arial" w:hAnsi="Arial" w:cs="Arial"/>
          <w:sz w:val="21"/>
          <w:szCs w:val="21"/>
          <w:lang w:val="uk-UA"/>
        </w:rPr>
      </w:pPr>
      <w:r w:rsidRPr="000E2A5D">
        <w:rPr>
          <w:rFonts w:ascii="Arial" w:hAnsi="Arial" w:cs="Arial"/>
          <w:b/>
          <w:sz w:val="21"/>
          <w:szCs w:val="21"/>
          <w:lang w:val="uk-UA"/>
        </w:rPr>
        <w:lastRenderedPageBreak/>
        <w:t>Відповідальність управлінського персоналу за фінансову звітність</w:t>
      </w:r>
    </w:p>
    <w:p w:rsidR="00E62A26" w:rsidRPr="000E2A5D" w:rsidRDefault="00E62A26" w:rsidP="00E62A26">
      <w:pPr>
        <w:spacing w:before="120" w:line="408" w:lineRule="auto"/>
        <w:ind w:left="2410" w:right="335"/>
        <w:jc w:val="both"/>
        <w:rPr>
          <w:rFonts w:ascii="Arial" w:hAnsi="Arial" w:cs="Arial"/>
          <w:sz w:val="21"/>
          <w:szCs w:val="21"/>
          <w:lang w:val="uk-UA"/>
        </w:rPr>
      </w:pPr>
      <w:r w:rsidRPr="000E2A5D">
        <w:rPr>
          <w:rFonts w:ascii="Arial" w:hAnsi="Arial" w:cs="Arial"/>
          <w:sz w:val="21"/>
          <w:szCs w:val="21"/>
          <w:lang w:val="uk-UA"/>
        </w:rPr>
        <w:t>Управлінський персонал Товариства несе відповідальність за складання та достовірне подання цієї фінансової звітності відповідно до застосовної концептуальної основи фінансової звітності.</w:t>
      </w:r>
    </w:p>
    <w:p w:rsidR="00E62A26" w:rsidRPr="00187300" w:rsidRDefault="00E62A26" w:rsidP="00E62A26">
      <w:pPr>
        <w:spacing w:before="120" w:line="408" w:lineRule="auto"/>
        <w:ind w:left="2410" w:right="335"/>
        <w:jc w:val="both"/>
        <w:rPr>
          <w:rFonts w:ascii="Arial" w:hAnsi="Arial" w:cs="Arial"/>
          <w:sz w:val="21"/>
          <w:szCs w:val="21"/>
          <w:lang w:val="uk-UA"/>
        </w:rPr>
      </w:pPr>
      <w:r w:rsidRPr="000E2A5D">
        <w:rPr>
          <w:rFonts w:ascii="Arial" w:hAnsi="Arial" w:cs="Arial"/>
          <w:sz w:val="21"/>
          <w:szCs w:val="21"/>
          <w:lang w:val="uk-UA"/>
        </w:rPr>
        <w:t>Управлінський персонал Товариства несе відповідальність за такий внутрішній контроль, який він визначає за потрібний для того,  щоб забезпечити складання фінансової звітності, що не містить суттєвих викривлень унаслідок шахрайства або помилок.</w:t>
      </w:r>
    </w:p>
    <w:p w:rsidR="00E62A26" w:rsidRPr="00BB5C7B" w:rsidRDefault="00E62A26" w:rsidP="00E62A26">
      <w:pPr>
        <w:spacing w:before="120" w:line="408" w:lineRule="auto"/>
        <w:ind w:left="2410" w:right="335"/>
        <w:jc w:val="both"/>
        <w:rPr>
          <w:rFonts w:ascii="Arial" w:hAnsi="Arial" w:cs="Arial"/>
          <w:b/>
          <w:sz w:val="21"/>
          <w:szCs w:val="21"/>
          <w:lang w:val="uk-UA"/>
        </w:rPr>
      </w:pPr>
    </w:p>
    <w:p w:rsidR="00E62A26" w:rsidRPr="000E2A5D" w:rsidRDefault="00E62A26" w:rsidP="00E62A26">
      <w:pPr>
        <w:spacing w:before="120" w:line="408" w:lineRule="auto"/>
        <w:ind w:left="2410" w:right="335"/>
        <w:jc w:val="both"/>
        <w:rPr>
          <w:rFonts w:ascii="Arial" w:hAnsi="Arial" w:cs="Arial"/>
          <w:b/>
          <w:sz w:val="21"/>
          <w:szCs w:val="21"/>
          <w:lang w:val="uk-UA"/>
        </w:rPr>
      </w:pPr>
      <w:r w:rsidRPr="000E2A5D">
        <w:rPr>
          <w:rFonts w:ascii="Arial" w:hAnsi="Arial" w:cs="Arial"/>
          <w:b/>
          <w:sz w:val="21"/>
          <w:szCs w:val="21"/>
          <w:lang w:val="uk-UA"/>
        </w:rPr>
        <w:t>Відповідальність аудитора</w:t>
      </w:r>
    </w:p>
    <w:p w:rsidR="00E62A26" w:rsidRPr="000E2A5D" w:rsidRDefault="00E62A26" w:rsidP="00E62A26">
      <w:pPr>
        <w:spacing w:before="120" w:line="408" w:lineRule="auto"/>
        <w:ind w:left="2410"/>
        <w:jc w:val="both"/>
        <w:rPr>
          <w:rFonts w:ascii="Arial" w:hAnsi="Arial" w:cs="Arial"/>
          <w:sz w:val="21"/>
          <w:szCs w:val="21"/>
          <w:lang w:val="uk-UA"/>
        </w:rPr>
      </w:pPr>
      <w:r w:rsidRPr="000E2A5D">
        <w:rPr>
          <w:rFonts w:ascii="Arial" w:hAnsi="Arial" w:cs="Arial"/>
          <w:sz w:val="21"/>
          <w:szCs w:val="21"/>
          <w:lang w:val="uk-UA"/>
        </w:rPr>
        <w:t xml:space="preserve">Нашою відповідальністю є висловлення думки щодо цієї фінансової звітності на основі результатів проведеного нами аудиту. </w:t>
      </w:r>
    </w:p>
    <w:p w:rsidR="00E62A26" w:rsidRPr="000E2A5D" w:rsidRDefault="00E62A26" w:rsidP="00E62A26">
      <w:pPr>
        <w:spacing w:before="120" w:line="408" w:lineRule="auto"/>
        <w:ind w:left="2410"/>
        <w:jc w:val="both"/>
        <w:rPr>
          <w:rFonts w:ascii="Arial" w:hAnsi="Arial" w:cs="Arial"/>
          <w:sz w:val="21"/>
          <w:szCs w:val="21"/>
          <w:lang w:val="uk-UA"/>
        </w:rPr>
      </w:pPr>
      <w:r w:rsidRPr="000E2A5D">
        <w:rPr>
          <w:rFonts w:ascii="Arial" w:hAnsi="Arial" w:cs="Arial"/>
          <w:sz w:val="21"/>
          <w:szCs w:val="21"/>
          <w:lang w:val="uk-UA"/>
        </w:rPr>
        <w:t xml:space="preserve">Ми провели аудит відповідно до вимог Закону України </w:t>
      </w:r>
      <w:r w:rsidRPr="000E2A5D">
        <w:rPr>
          <w:rFonts w:ascii="Arial" w:hAnsi="Arial" w:cs="Arial"/>
          <w:sz w:val="21"/>
          <w:szCs w:val="21"/>
          <w:lang w:val="ru-RU"/>
        </w:rPr>
        <w:br/>
      </w:r>
      <w:r w:rsidRPr="000E2A5D">
        <w:rPr>
          <w:rFonts w:ascii="Arial" w:hAnsi="Arial" w:cs="Arial"/>
          <w:sz w:val="21"/>
          <w:szCs w:val="21"/>
          <w:lang w:val="uk-UA"/>
        </w:rPr>
        <w:t xml:space="preserve">«Про аудиторську діяльність» та Міжнародних стандартів аудиту. Ці стандарти вимагають від нас дотримання відповідних етичних вимог, а також планування та виконання аудиту для отримання достатньої впевненості, що фінансова звітність не містить суттєвих викривлень. </w:t>
      </w:r>
    </w:p>
    <w:p w:rsidR="00E62A26" w:rsidRPr="000E2A5D" w:rsidRDefault="00E62A26" w:rsidP="00E62A26">
      <w:pPr>
        <w:spacing w:before="200" w:line="408" w:lineRule="auto"/>
        <w:ind w:left="2410"/>
        <w:jc w:val="both"/>
        <w:rPr>
          <w:rFonts w:ascii="Arial" w:hAnsi="Arial" w:cs="Arial"/>
          <w:sz w:val="21"/>
          <w:szCs w:val="21"/>
          <w:lang w:val="uk-UA"/>
        </w:rPr>
      </w:pPr>
      <w:r w:rsidRPr="000E2A5D">
        <w:rPr>
          <w:rFonts w:ascii="Arial" w:hAnsi="Arial" w:cs="Arial"/>
          <w:sz w:val="21"/>
          <w:szCs w:val="21"/>
          <w:lang w:val="uk-UA"/>
        </w:rPr>
        <w:t xml:space="preserve">Аудит передбачає виконання аудиторських процедур для отримання аудиторських доказів стосовно сум та </w:t>
      </w:r>
      <w:proofErr w:type="spellStart"/>
      <w:r w:rsidRPr="000E2A5D">
        <w:rPr>
          <w:rFonts w:ascii="Arial" w:hAnsi="Arial" w:cs="Arial"/>
          <w:sz w:val="21"/>
          <w:szCs w:val="21"/>
          <w:lang w:val="uk-UA"/>
        </w:rPr>
        <w:t>розкриттів</w:t>
      </w:r>
      <w:proofErr w:type="spellEnd"/>
      <w:r w:rsidRPr="000E2A5D">
        <w:rPr>
          <w:rFonts w:ascii="Arial" w:hAnsi="Arial" w:cs="Arial"/>
          <w:sz w:val="21"/>
          <w:szCs w:val="21"/>
          <w:lang w:val="uk-UA"/>
        </w:rPr>
        <w:t xml:space="preserve">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стосуються складання та достовірного подання Товариством фінансової звітності, з метою розробки аудиторських </w:t>
      </w:r>
      <w:proofErr w:type="spellStart"/>
      <w:r w:rsidRPr="000E2A5D">
        <w:rPr>
          <w:rFonts w:ascii="Arial" w:hAnsi="Arial" w:cs="Arial"/>
          <w:sz w:val="21"/>
          <w:szCs w:val="21"/>
          <w:lang w:val="uk-UA"/>
        </w:rPr>
        <w:t>процедур,які</w:t>
      </w:r>
      <w:proofErr w:type="spellEnd"/>
      <w:r w:rsidRPr="000E2A5D">
        <w:rPr>
          <w:rFonts w:ascii="Arial" w:hAnsi="Arial" w:cs="Arial"/>
          <w:sz w:val="21"/>
          <w:szCs w:val="21"/>
          <w:lang w:val="uk-UA"/>
        </w:rPr>
        <w:t xml:space="preserve"> відповідають обставинам, а не з метою висловлення думки щодо ефективності внутрішнього контролю</w:t>
      </w:r>
      <w:r w:rsidRPr="00187300">
        <w:rPr>
          <w:rFonts w:ascii="Arial" w:hAnsi="Arial" w:cs="Arial"/>
          <w:sz w:val="21"/>
          <w:szCs w:val="21"/>
          <w:lang w:val="uk-UA"/>
        </w:rPr>
        <w:t xml:space="preserve"> </w:t>
      </w:r>
      <w:r w:rsidRPr="000E2A5D">
        <w:rPr>
          <w:rFonts w:ascii="Arial" w:hAnsi="Arial" w:cs="Arial"/>
          <w:sz w:val="21"/>
          <w:szCs w:val="21"/>
          <w:lang w:val="uk-UA"/>
        </w:rPr>
        <w:t>Товариства. Аудит також включає оцінку відповідності використаної облікової політики, прийнятність облікових оцінок, зроблених управлінським персоналом, та оцінку загального подання фінансової звітності.</w:t>
      </w:r>
    </w:p>
    <w:p w:rsidR="00E62A26" w:rsidRPr="000E2A5D" w:rsidRDefault="00E62A26" w:rsidP="00E62A26">
      <w:pPr>
        <w:spacing w:before="200" w:line="408" w:lineRule="auto"/>
        <w:ind w:left="2410"/>
        <w:jc w:val="both"/>
        <w:rPr>
          <w:rFonts w:ascii="Arial" w:hAnsi="Arial" w:cs="Arial"/>
          <w:sz w:val="21"/>
          <w:szCs w:val="21"/>
          <w:lang w:val="uk-UA"/>
        </w:rPr>
      </w:pPr>
      <w:r w:rsidRPr="000E2A5D">
        <w:rPr>
          <w:rFonts w:ascii="Arial" w:hAnsi="Arial" w:cs="Arial"/>
          <w:sz w:val="21"/>
          <w:szCs w:val="21"/>
          <w:lang w:val="uk-UA"/>
        </w:rPr>
        <w:t>Ми вважаємо, що отримали достатні та прийнятні аудиторські докази для висловлення нашої думки.</w:t>
      </w:r>
    </w:p>
    <w:p w:rsidR="00E62A26" w:rsidRPr="000E2A5D" w:rsidRDefault="00E62A26" w:rsidP="00E62A26">
      <w:pPr>
        <w:spacing w:before="200" w:line="408" w:lineRule="auto"/>
        <w:ind w:firstLine="720"/>
        <w:jc w:val="both"/>
        <w:rPr>
          <w:rFonts w:ascii="Arial" w:hAnsi="Arial" w:cs="Arial"/>
          <w:b/>
          <w:i/>
          <w:sz w:val="21"/>
          <w:szCs w:val="21"/>
          <w:lang w:val="uk-UA"/>
        </w:rPr>
      </w:pPr>
    </w:p>
    <w:p w:rsidR="00E62A26" w:rsidRPr="000E2A5D" w:rsidRDefault="00E62A26" w:rsidP="00E62A26">
      <w:pPr>
        <w:spacing w:before="200" w:line="408" w:lineRule="auto"/>
        <w:ind w:left="2410"/>
        <w:jc w:val="both"/>
        <w:rPr>
          <w:rFonts w:ascii="Arial" w:hAnsi="Arial" w:cs="Arial"/>
          <w:sz w:val="21"/>
          <w:szCs w:val="21"/>
          <w:lang w:val="uk-UA"/>
        </w:rPr>
      </w:pPr>
      <w:r w:rsidRPr="000E2A5D">
        <w:rPr>
          <w:rFonts w:ascii="Arial" w:hAnsi="Arial" w:cs="Arial"/>
          <w:b/>
          <w:sz w:val="21"/>
          <w:szCs w:val="21"/>
          <w:lang w:val="uk-UA"/>
        </w:rPr>
        <w:t>Висловлення думки</w:t>
      </w:r>
    </w:p>
    <w:p w:rsidR="00E62A26" w:rsidRPr="000E2A5D" w:rsidRDefault="00E62A26" w:rsidP="00E62A26">
      <w:pPr>
        <w:spacing w:before="200" w:line="408" w:lineRule="auto"/>
        <w:ind w:left="2410"/>
        <w:jc w:val="both"/>
        <w:rPr>
          <w:rFonts w:ascii="Arial" w:hAnsi="Arial" w:cs="Arial"/>
          <w:sz w:val="21"/>
          <w:szCs w:val="21"/>
          <w:lang w:val="uk-UA"/>
        </w:rPr>
      </w:pPr>
      <w:r w:rsidRPr="000E2A5D">
        <w:rPr>
          <w:rFonts w:ascii="Arial" w:hAnsi="Arial" w:cs="Arial"/>
          <w:sz w:val="21"/>
          <w:szCs w:val="21"/>
          <w:lang w:val="uk-UA"/>
        </w:rPr>
        <w:t>На нашу думку, фінансова звітність Товариства за р</w:t>
      </w:r>
      <w:r>
        <w:rPr>
          <w:rFonts w:ascii="Arial" w:hAnsi="Arial" w:cs="Arial"/>
          <w:sz w:val="21"/>
          <w:szCs w:val="21"/>
          <w:lang w:val="uk-UA"/>
        </w:rPr>
        <w:t>ік, що закінчився 31 грудня 2015</w:t>
      </w:r>
      <w:r w:rsidRPr="000E2A5D">
        <w:rPr>
          <w:rFonts w:ascii="Arial" w:hAnsi="Arial" w:cs="Arial"/>
          <w:sz w:val="21"/>
          <w:szCs w:val="21"/>
          <w:lang w:val="uk-UA"/>
        </w:rPr>
        <w:t xml:space="preserve"> року, складена в усіх суттєвих аспектах відповідно до  Закону України «Про бухгалтерський облік та фінансову звітність в Україні» та Міжнародних стандартів фінансової звітності, які офіційно оприлюднені на веб-сайті Міністерства фінансів України.</w:t>
      </w:r>
    </w:p>
    <w:p w:rsidR="00E62A26" w:rsidRPr="000E2A5D" w:rsidRDefault="00E62A26" w:rsidP="00E62A26">
      <w:pPr>
        <w:spacing w:before="200" w:line="408" w:lineRule="auto"/>
        <w:ind w:firstLine="720"/>
        <w:jc w:val="both"/>
        <w:rPr>
          <w:rFonts w:ascii="Arial" w:hAnsi="Arial" w:cs="Arial"/>
          <w:sz w:val="21"/>
          <w:szCs w:val="21"/>
          <w:lang w:val="uk-UA"/>
        </w:rPr>
      </w:pPr>
    </w:p>
    <w:p w:rsidR="00E62A26" w:rsidRPr="00BB5C7B" w:rsidRDefault="00E62A26" w:rsidP="00E62A26">
      <w:pPr>
        <w:spacing w:before="120" w:line="360" w:lineRule="auto"/>
        <w:ind w:left="2420"/>
        <w:jc w:val="both"/>
        <w:rPr>
          <w:rFonts w:ascii="Arial" w:hAnsi="Arial" w:cs="Arial"/>
          <w:b/>
          <w:bCs/>
          <w:i/>
          <w:iCs/>
          <w:sz w:val="21"/>
          <w:szCs w:val="21"/>
          <w:lang w:val="uk-UA"/>
        </w:rPr>
      </w:pPr>
      <w:r w:rsidRPr="00BB5C7B">
        <w:rPr>
          <w:rFonts w:ascii="Arial" w:hAnsi="Arial" w:cs="Arial"/>
          <w:b/>
          <w:bCs/>
          <w:i/>
          <w:iCs/>
          <w:sz w:val="21"/>
          <w:szCs w:val="21"/>
          <w:lang w:val="uk-UA"/>
        </w:rPr>
        <w:t>Пояснювальний параграф</w:t>
      </w:r>
    </w:p>
    <w:p w:rsidR="00E62A26" w:rsidRPr="00BB5C7B" w:rsidRDefault="00E62A26" w:rsidP="00E62A26">
      <w:pPr>
        <w:spacing w:before="120" w:after="120" w:line="360" w:lineRule="auto"/>
        <w:ind w:left="2420"/>
        <w:jc w:val="both"/>
        <w:rPr>
          <w:rStyle w:val="longtext"/>
          <w:rFonts w:ascii="Arial" w:hAnsi="Arial" w:cs="Arial"/>
          <w:sz w:val="21"/>
          <w:szCs w:val="21"/>
          <w:lang w:val="uk-UA"/>
        </w:rPr>
      </w:pPr>
      <w:r w:rsidRPr="00BB5C7B">
        <w:rPr>
          <w:rFonts w:ascii="Arial" w:hAnsi="Arial" w:cs="Arial"/>
          <w:sz w:val="21"/>
          <w:szCs w:val="21"/>
          <w:lang w:val="uk-UA"/>
        </w:rPr>
        <w:t>Ми звертаємо увагу на Примітку 2 «Умови здійснення діяльності»</w:t>
      </w:r>
      <w:r>
        <w:rPr>
          <w:rFonts w:ascii="Arial" w:hAnsi="Arial" w:cs="Arial"/>
          <w:sz w:val="21"/>
          <w:szCs w:val="21"/>
          <w:lang w:val="uk-UA"/>
        </w:rPr>
        <w:t>, Примітку 23 «Інші поточні зобов’язання та забезпечення»</w:t>
      </w:r>
      <w:r w:rsidRPr="00BB5C7B">
        <w:rPr>
          <w:rFonts w:ascii="Arial" w:hAnsi="Arial" w:cs="Arial"/>
          <w:sz w:val="21"/>
          <w:szCs w:val="21"/>
          <w:lang w:val="uk-UA"/>
        </w:rPr>
        <w:t xml:space="preserve"> та Примітку </w:t>
      </w:r>
      <w:r>
        <w:rPr>
          <w:rFonts w:ascii="Arial" w:hAnsi="Arial" w:cs="Arial"/>
          <w:sz w:val="21"/>
          <w:szCs w:val="21"/>
          <w:lang w:val="uk-UA"/>
        </w:rPr>
        <w:t>29</w:t>
      </w:r>
      <w:r w:rsidRPr="00BB5C7B">
        <w:rPr>
          <w:rFonts w:ascii="Arial" w:hAnsi="Arial" w:cs="Arial"/>
          <w:sz w:val="21"/>
          <w:szCs w:val="21"/>
          <w:lang w:val="uk-UA"/>
        </w:rPr>
        <w:t> «</w:t>
      </w:r>
      <w:r w:rsidRPr="00BB5C7B">
        <w:rPr>
          <w:rFonts w:ascii="Arial" w:hAnsi="Arial" w:cs="Arial"/>
          <w:bCs/>
          <w:sz w:val="21"/>
          <w:szCs w:val="21"/>
          <w:lang w:val="uk-UA" w:eastAsia="ru-RU"/>
        </w:rPr>
        <w:t>Умовні та договірні зобов’язання та операційні ризики»</w:t>
      </w:r>
      <w:r w:rsidRPr="00BB5C7B">
        <w:rPr>
          <w:rFonts w:ascii="Arial" w:hAnsi="Arial" w:cs="Arial"/>
          <w:sz w:val="21"/>
          <w:szCs w:val="21"/>
          <w:lang w:val="uk-UA"/>
        </w:rPr>
        <w:t xml:space="preserve"> до фінансової звітності, в яких йдеться про те, що </w:t>
      </w:r>
      <w:r w:rsidRPr="00BB5C7B">
        <w:rPr>
          <w:rStyle w:val="longtext"/>
          <w:rFonts w:ascii="Arial" w:hAnsi="Arial" w:cs="Arial"/>
          <w:sz w:val="21"/>
          <w:szCs w:val="21"/>
          <w:lang w:val="uk-UA"/>
        </w:rPr>
        <w:t>поточні ринкові та економічні умови</w:t>
      </w:r>
      <w:r>
        <w:rPr>
          <w:rStyle w:val="longtext"/>
          <w:rFonts w:ascii="Arial" w:hAnsi="Arial" w:cs="Arial"/>
          <w:sz w:val="21"/>
          <w:szCs w:val="21"/>
          <w:lang w:val="uk-UA"/>
        </w:rPr>
        <w:t>, а також інші обставини</w:t>
      </w:r>
      <w:r w:rsidRPr="00BB5C7B">
        <w:rPr>
          <w:rStyle w:val="longtext"/>
          <w:rFonts w:ascii="Arial" w:hAnsi="Arial" w:cs="Arial"/>
          <w:sz w:val="21"/>
          <w:szCs w:val="21"/>
          <w:lang w:val="uk-UA"/>
        </w:rPr>
        <w:t xml:space="preserve"> породжують невизначеність щодо здатності Товариства генерувати достатні грошові потоки для продовження його діяльності та виконання інвестиційних планів.  Проте Керівництво Товариства впевнено, що застосовні ним заходи по зниженню впливу несприятливих наслідків підтверджують доцільність застосування припущення про безперервність діяльності під час підготовки цієї фінансової звітності.</w:t>
      </w:r>
    </w:p>
    <w:p w:rsidR="00E62A26" w:rsidRPr="00BB5C7B" w:rsidRDefault="00E62A26" w:rsidP="00E62A26">
      <w:pPr>
        <w:spacing w:before="120" w:line="360" w:lineRule="auto"/>
        <w:ind w:left="2420"/>
        <w:jc w:val="both"/>
        <w:rPr>
          <w:rFonts w:ascii="Arial" w:hAnsi="Arial" w:cs="Arial"/>
          <w:sz w:val="21"/>
          <w:szCs w:val="21"/>
          <w:lang w:val="uk-UA"/>
        </w:rPr>
      </w:pPr>
      <w:r w:rsidRPr="00BB5C7B">
        <w:rPr>
          <w:rFonts w:ascii="Arial" w:hAnsi="Arial" w:cs="Arial"/>
          <w:sz w:val="21"/>
          <w:szCs w:val="21"/>
          <w:lang w:val="uk-UA"/>
        </w:rPr>
        <w:t>Зазначені вище обставини вказують на існування невизначеності, результат якої залежить від майбутніх подій, що не знаходяться під безпосереднім контролем Товариства. На сьогоднішній момент не можливо оцінити ефект, який матимуть зазначені вище обставини на фінансове становище і результати діяльності Товариства в майбутньому. Висловлюючи нашу думку, ми не брали до уваги це питання.</w:t>
      </w:r>
    </w:p>
    <w:p w:rsidR="00E62A26" w:rsidRDefault="00E62A26" w:rsidP="00E62A26">
      <w:pPr>
        <w:spacing w:before="120" w:line="384" w:lineRule="auto"/>
        <w:ind w:left="2410"/>
        <w:jc w:val="both"/>
        <w:rPr>
          <w:rFonts w:ascii="Arial" w:hAnsi="Arial" w:cs="Arial"/>
          <w:b/>
          <w:sz w:val="20"/>
          <w:szCs w:val="20"/>
          <w:lang w:val="uk-UA"/>
        </w:rPr>
      </w:pPr>
    </w:p>
    <w:p w:rsidR="00E62A26" w:rsidRPr="00BE090D" w:rsidRDefault="00E62A26" w:rsidP="00E62A26">
      <w:pPr>
        <w:spacing w:before="120" w:line="384" w:lineRule="auto"/>
        <w:ind w:left="2410"/>
        <w:jc w:val="both"/>
        <w:rPr>
          <w:rFonts w:ascii="Arial" w:hAnsi="Arial" w:cs="Arial"/>
          <w:b/>
          <w:sz w:val="20"/>
          <w:szCs w:val="20"/>
          <w:lang w:val="uk-UA"/>
        </w:rPr>
      </w:pPr>
      <w:r w:rsidRPr="00BE090D">
        <w:rPr>
          <w:rFonts w:ascii="Arial" w:hAnsi="Arial" w:cs="Arial"/>
          <w:b/>
          <w:sz w:val="20"/>
          <w:szCs w:val="20"/>
          <w:lang w:val="uk-UA"/>
        </w:rPr>
        <w:t xml:space="preserve">ЗВІТ ЩОДО ВИМОГ ІНШИХ ЗАКОНОДАВЧИХ ТА НОРМАТИВНИХ АКТІВ </w:t>
      </w:r>
    </w:p>
    <w:p w:rsidR="00E62A26" w:rsidRPr="00BB5C7B" w:rsidRDefault="00E62A26" w:rsidP="00E62A26">
      <w:pPr>
        <w:spacing w:before="120" w:line="360" w:lineRule="auto"/>
        <w:ind w:left="2420"/>
        <w:jc w:val="both"/>
        <w:rPr>
          <w:sz w:val="21"/>
          <w:szCs w:val="21"/>
          <w:shd w:val="clear" w:color="auto" w:fill="FFFFFF"/>
          <w:lang w:val="uk-UA"/>
        </w:rPr>
      </w:pPr>
      <w:r w:rsidRPr="00BB5C7B">
        <w:rPr>
          <w:rFonts w:ascii="Arial" w:hAnsi="Arial" w:cs="Arial"/>
          <w:sz w:val="21"/>
          <w:szCs w:val="21"/>
          <w:lang w:val="uk-UA"/>
        </w:rPr>
        <w:t>Цей розділ аудиторського висновку (звіту незалежного аудитора) підготовлено відповідно до вимог Закону України </w:t>
      </w:r>
      <w:r w:rsidRPr="00BB5C7B">
        <w:rPr>
          <w:rFonts w:ascii="Arial" w:hAnsi="Arial" w:cs="Arial"/>
          <w:sz w:val="21"/>
          <w:szCs w:val="21"/>
          <w:shd w:val="clear" w:color="auto" w:fill="FFFFFF"/>
          <w:lang w:val="uk-UA"/>
        </w:rPr>
        <w:t>"Про акціонерні товариства" .</w:t>
      </w:r>
    </w:p>
    <w:p w:rsidR="00E62A26" w:rsidRPr="00BB5C7B" w:rsidRDefault="00E62A26" w:rsidP="00E62A26">
      <w:pPr>
        <w:spacing w:before="120" w:line="360" w:lineRule="auto"/>
        <w:ind w:left="2420"/>
        <w:jc w:val="both"/>
        <w:rPr>
          <w:rFonts w:ascii="Arial" w:hAnsi="Arial" w:cs="Arial"/>
          <w:b/>
          <w:bCs/>
          <w:sz w:val="21"/>
          <w:szCs w:val="21"/>
          <w:lang w:val="uk-UA"/>
        </w:rPr>
      </w:pPr>
      <w:r w:rsidRPr="00BB5C7B">
        <w:rPr>
          <w:rFonts w:ascii="Arial" w:hAnsi="Arial" w:cs="Arial"/>
          <w:sz w:val="21"/>
          <w:szCs w:val="21"/>
          <w:lang w:val="uk-UA"/>
        </w:rPr>
        <w:t xml:space="preserve">Станом на звітну дату вартість чистих активів Товариства є більшою, ніж статутний капітал та мінімальний розмір статутного капіталу, встановлений  чинним законодавством. На нашу думку, вартість чистих активів відповідає вимогам законодавства, а саме частині третій статті 155 Цивільного кодексу  України. </w:t>
      </w:r>
    </w:p>
    <w:p w:rsidR="00E62A26" w:rsidRPr="00BB5C7B" w:rsidRDefault="00E62A26" w:rsidP="00E62A26">
      <w:pPr>
        <w:pStyle w:val="aa"/>
        <w:spacing w:after="0"/>
        <w:ind w:left="2420"/>
        <w:jc w:val="both"/>
        <w:rPr>
          <w:rFonts w:ascii="Arial" w:hAnsi="Arial" w:cs="Arial"/>
          <w:sz w:val="21"/>
          <w:szCs w:val="21"/>
          <w:lang w:val="uk-UA"/>
        </w:rPr>
      </w:pPr>
    </w:p>
    <w:p w:rsidR="00E62A26" w:rsidRPr="00BB5C7B" w:rsidRDefault="00E62A26" w:rsidP="00E62A26">
      <w:pPr>
        <w:pStyle w:val="aa"/>
        <w:spacing w:before="120" w:line="360" w:lineRule="auto"/>
        <w:ind w:left="2420"/>
        <w:jc w:val="both"/>
        <w:rPr>
          <w:rFonts w:ascii="Arial" w:hAnsi="Arial" w:cs="Arial"/>
          <w:sz w:val="21"/>
          <w:szCs w:val="21"/>
          <w:lang w:val="uk-UA"/>
        </w:rPr>
      </w:pPr>
      <w:r w:rsidRPr="00BB5C7B">
        <w:rPr>
          <w:rFonts w:ascii="Arial" w:hAnsi="Arial" w:cs="Arial"/>
          <w:sz w:val="21"/>
          <w:szCs w:val="21"/>
          <w:lang w:val="uk-UA"/>
        </w:rPr>
        <w:t>На нашу думку, виконання Товариством значних правочинів (ринкова вартість майна (робіт, послуг), що є їх предметом, становить 10 і більше відсотків вартості активів Товариства за даними останньої річної фінансової звітності) відповідає вимогам Закону України «Про акціонерні товариства».</w:t>
      </w:r>
    </w:p>
    <w:p w:rsidR="00E62A26" w:rsidRPr="00BB5C7B" w:rsidRDefault="00E62A26" w:rsidP="00E62A26">
      <w:pPr>
        <w:pStyle w:val="aa"/>
        <w:spacing w:after="0"/>
        <w:ind w:left="2420"/>
        <w:jc w:val="both"/>
        <w:rPr>
          <w:rFonts w:ascii="Arial" w:hAnsi="Arial" w:cs="Arial"/>
          <w:sz w:val="21"/>
          <w:szCs w:val="21"/>
          <w:lang w:val="uk-UA"/>
        </w:rPr>
      </w:pPr>
      <w:r w:rsidRPr="00BB5C7B">
        <w:rPr>
          <w:sz w:val="21"/>
          <w:szCs w:val="21"/>
        </w:rPr>
        <w:t> </w:t>
      </w:r>
    </w:p>
    <w:p w:rsidR="00E62A26" w:rsidRPr="00BB5C7B" w:rsidRDefault="00E62A26" w:rsidP="00E62A26">
      <w:pPr>
        <w:pStyle w:val="aa"/>
        <w:spacing w:before="120" w:line="360" w:lineRule="auto"/>
        <w:ind w:left="2420"/>
        <w:jc w:val="both"/>
        <w:rPr>
          <w:rFonts w:ascii="Arial" w:hAnsi="Arial" w:cs="Arial"/>
          <w:sz w:val="21"/>
          <w:szCs w:val="21"/>
          <w:lang w:val="uk-UA"/>
        </w:rPr>
      </w:pPr>
      <w:r w:rsidRPr="00BB5C7B">
        <w:rPr>
          <w:rFonts w:ascii="Arial" w:hAnsi="Arial" w:cs="Arial"/>
          <w:sz w:val="21"/>
          <w:szCs w:val="21"/>
          <w:lang w:val="uk-UA"/>
        </w:rPr>
        <w:t>Нами розглянуто інформацію щодо стану корпоративного управління та внутрішнього аудиту відповідно до Закону України «Про акціонерні товариства». Органами управління Товариства є Загальні збори акціонерів та Наглядова рада. Для проведення перевірки фінансово-господарської діяльності Товариства Загальними зборами акціонерів обрано членів Ревізійної комісії. Управління поточною господарською діяльністю Товариства в рамках, визначених Статутом Товариства, відповідними рішеннями загальних зборів акціонерів Товариства та чинним</w:t>
      </w:r>
      <w:r w:rsidRPr="00BB5C7B">
        <w:rPr>
          <w:rFonts w:ascii="Arial" w:hAnsi="Arial" w:cs="Arial"/>
          <w:sz w:val="23"/>
          <w:szCs w:val="23"/>
          <w:lang w:val="uk-UA"/>
        </w:rPr>
        <w:t xml:space="preserve"> </w:t>
      </w:r>
      <w:r w:rsidRPr="00BB5C7B">
        <w:rPr>
          <w:rFonts w:ascii="Arial" w:hAnsi="Arial" w:cs="Arial"/>
          <w:sz w:val="21"/>
          <w:szCs w:val="21"/>
          <w:lang w:val="uk-UA"/>
        </w:rPr>
        <w:t>законодавством, здійснює генеральний директор.</w:t>
      </w:r>
    </w:p>
    <w:p w:rsidR="00E62A26" w:rsidRDefault="00E62A26" w:rsidP="00E62A26">
      <w:pPr>
        <w:pStyle w:val="aa"/>
        <w:spacing w:before="120" w:line="360" w:lineRule="auto"/>
        <w:ind w:left="2420"/>
        <w:jc w:val="both"/>
        <w:rPr>
          <w:rFonts w:ascii="Arial" w:hAnsi="Arial" w:cs="Arial"/>
          <w:sz w:val="21"/>
          <w:szCs w:val="21"/>
          <w:lang w:val="uk-UA"/>
        </w:rPr>
      </w:pPr>
      <w:r w:rsidRPr="00BB5C7B">
        <w:rPr>
          <w:rFonts w:ascii="Arial" w:hAnsi="Arial" w:cs="Arial"/>
          <w:sz w:val="21"/>
          <w:szCs w:val="21"/>
          <w:lang w:val="uk-UA"/>
        </w:rPr>
        <w:t>На нашу думку, стан корпоративного управління у всіх суттєвих аспектах відповідає вимогам Закону України «Про акціонерні товариства».</w:t>
      </w:r>
    </w:p>
    <w:p w:rsidR="00E62A26" w:rsidRPr="00BB5C7B" w:rsidRDefault="00E62A26" w:rsidP="00E62A26">
      <w:pPr>
        <w:pStyle w:val="aa"/>
        <w:spacing w:before="120" w:line="360" w:lineRule="auto"/>
        <w:ind w:left="2420"/>
        <w:jc w:val="both"/>
        <w:rPr>
          <w:rFonts w:ascii="Arial" w:hAnsi="Arial" w:cs="Arial"/>
          <w:sz w:val="21"/>
          <w:szCs w:val="21"/>
          <w:lang w:val="uk-UA"/>
        </w:rPr>
      </w:pPr>
      <w:r w:rsidRPr="00BB5C7B">
        <w:rPr>
          <w:rFonts w:ascii="Arial" w:hAnsi="Arial" w:cs="Arial"/>
          <w:sz w:val="21"/>
          <w:szCs w:val="21"/>
          <w:lang w:val="uk-UA"/>
        </w:rPr>
        <w:t>Рішення щодо запровадження в Товаристві посади внутрішнього аудитора (створення служби внутрішнього аудиту) не приймалось.</w:t>
      </w:r>
    </w:p>
    <w:p w:rsidR="00E62A26" w:rsidRPr="00BB5C7B" w:rsidRDefault="00E62A26" w:rsidP="00E62A26">
      <w:pPr>
        <w:pStyle w:val="aa"/>
        <w:spacing w:before="120" w:line="360" w:lineRule="auto"/>
        <w:ind w:left="0" w:firstLine="720"/>
        <w:jc w:val="both"/>
        <w:rPr>
          <w:rFonts w:ascii="Arial" w:hAnsi="Arial" w:cs="Arial"/>
          <w:sz w:val="21"/>
          <w:szCs w:val="21"/>
          <w:lang w:val="uk-UA"/>
        </w:rPr>
      </w:pPr>
    </w:p>
    <w:p w:rsidR="00E62A26" w:rsidRPr="00BB5C7B" w:rsidRDefault="00E62A26" w:rsidP="00E62A26">
      <w:pPr>
        <w:pStyle w:val="aa"/>
        <w:spacing w:before="120" w:line="360" w:lineRule="auto"/>
        <w:ind w:left="2420"/>
        <w:jc w:val="both"/>
        <w:rPr>
          <w:rFonts w:ascii="Arial" w:hAnsi="Arial" w:cs="Arial"/>
          <w:sz w:val="21"/>
          <w:szCs w:val="21"/>
          <w:lang w:val="uk-UA"/>
        </w:rPr>
      </w:pPr>
      <w:r w:rsidRPr="00BB5C7B">
        <w:rPr>
          <w:rFonts w:ascii="Arial" w:hAnsi="Arial" w:cs="Arial"/>
          <w:sz w:val="21"/>
          <w:szCs w:val="21"/>
          <w:lang w:val="uk-UA"/>
        </w:rPr>
        <w:t>На нашу думку, під час проведення аудиторської перевірки ми отримали достатні та відповідні підтвердження достовірності та</w:t>
      </w:r>
      <w:r w:rsidRPr="00BB5C7B">
        <w:rPr>
          <w:rFonts w:ascii="Arial" w:hAnsi="Arial" w:cs="Arial"/>
          <w:sz w:val="21"/>
          <w:szCs w:val="21"/>
        </w:rPr>
        <w:t> </w:t>
      </w:r>
      <w:r w:rsidRPr="00BB5C7B">
        <w:rPr>
          <w:rFonts w:ascii="Arial" w:hAnsi="Arial" w:cs="Arial"/>
          <w:sz w:val="21"/>
          <w:szCs w:val="21"/>
          <w:lang w:val="uk-UA"/>
        </w:rPr>
        <w:t xml:space="preserve"> повноти</w:t>
      </w:r>
      <w:r w:rsidRPr="00BB5C7B">
        <w:rPr>
          <w:rFonts w:ascii="Arial" w:hAnsi="Arial" w:cs="Arial"/>
          <w:sz w:val="21"/>
          <w:szCs w:val="21"/>
        </w:rPr>
        <w:t> </w:t>
      </w:r>
      <w:r w:rsidRPr="00BB5C7B">
        <w:rPr>
          <w:rFonts w:ascii="Arial" w:hAnsi="Arial" w:cs="Arial"/>
          <w:sz w:val="21"/>
          <w:szCs w:val="21"/>
          <w:lang w:val="uk-UA"/>
        </w:rPr>
        <w:t xml:space="preserve"> даних</w:t>
      </w:r>
      <w:r w:rsidRPr="00BB5C7B">
        <w:rPr>
          <w:rFonts w:ascii="Arial" w:hAnsi="Arial" w:cs="Arial"/>
          <w:sz w:val="21"/>
          <w:szCs w:val="21"/>
        </w:rPr>
        <w:t> </w:t>
      </w:r>
      <w:r w:rsidRPr="00BB5C7B">
        <w:rPr>
          <w:rFonts w:ascii="Arial" w:hAnsi="Arial" w:cs="Arial"/>
          <w:sz w:val="21"/>
          <w:szCs w:val="21"/>
          <w:lang w:val="uk-UA"/>
        </w:rPr>
        <w:t xml:space="preserve"> фінансової звітності за відповідний період. Ми не ідентифікували фактів порушення</w:t>
      </w:r>
      <w:r w:rsidRPr="00BB5C7B">
        <w:rPr>
          <w:rFonts w:ascii="Arial" w:hAnsi="Arial" w:cs="Arial"/>
          <w:sz w:val="21"/>
          <w:szCs w:val="21"/>
        </w:rPr>
        <w:t> </w:t>
      </w:r>
      <w:r w:rsidRPr="00BB5C7B">
        <w:rPr>
          <w:rFonts w:ascii="Arial" w:hAnsi="Arial" w:cs="Arial"/>
          <w:sz w:val="21"/>
          <w:szCs w:val="21"/>
          <w:lang w:val="uk-UA"/>
        </w:rPr>
        <w:t xml:space="preserve"> законодавства під час провадження Товариством фінансово-господарської</w:t>
      </w:r>
      <w:r w:rsidRPr="00BB5C7B">
        <w:rPr>
          <w:rFonts w:ascii="Arial" w:hAnsi="Arial" w:cs="Arial"/>
          <w:sz w:val="21"/>
          <w:szCs w:val="21"/>
        </w:rPr>
        <w:t> </w:t>
      </w:r>
      <w:r w:rsidRPr="00BB5C7B">
        <w:rPr>
          <w:rFonts w:ascii="Arial" w:hAnsi="Arial" w:cs="Arial"/>
          <w:sz w:val="21"/>
          <w:szCs w:val="21"/>
          <w:lang w:val="uk-UA"/>
        </w:rPr>
        <w:t xml:space="preserve"> діяльності, крім тих, які належним чином розкриті у фінансовій звітності. Ми також не ідентифікували під час перевірки порушень встановленого порядку ведення бухгалтерського обліку та подання звітності.</w:t>
      </w:r>
    </w:p>
    <w:p w:rsidR="00E62A26" w:rsidRPr="00BB5C7B" w:rsidRDefault="00E62A26" w:rsidP="00E62A26">
      <w:pPr>
        <w:pStyle w:val="aa"/>
        <w:spacing w:before="120" w:line="360" w:lineRule="auto"/>
        <w:ind w:left="2420"/>
        <w:jc w:val="both"/>
        <w:rPr>
          <w:rFonts w:ascii="Arial" w:hAnsi="Arial" w:cs="Arial"/>
          <w:sz w:val="21"/>
          <w:szCs w:val="21"/>
          <w:lang w:val="uk-UA"/>
        </w:rPr>
      </w:pPr>
      <w:r w:rsidRPr="00BB5C7B">
        <w:rPr>
          <w:rFonts w:ascii="Arial" w:hAnsi="Arial" w:cs="Arial"/>
          <w:sz w:val="21"/>
          <w:szCs w:val="21"/>
          <w:lang w:val="uk-UA"/>
        </w:rPr>
        <w:t xml:space="preserve">Відповідно до вимог МСА 240 «Відповідальність аудитора, що стосується шахрайства, при аудиті фінансової звітності», ми виконали аудиторські процедури ідентифікації та оцінки ризиків суттєвого викривлення фінансової звітності внаслідок шахрайства з метою отримання  достатніх та прийнятних аудиторських доказів, що стосуються оцінених ризиків. </w:t>
      </w:r>
    </w:p>
    <w:p w:rsidR="00E62A26" w:rsidRPr="00BB5C7B" w:rsidRDefault="00E62A26" w:rsidP="00E62A26">
      <w:pPr>
        <w:pStyle w:val="aa"/>
        <w:spacing w:before="120" w:line="360" w:lineRule="auto"/>
        <w:ind w:left="2420"/>
        <w:jc w:val="both"/>
        <w:rPr>
          <w:rFonts w:ascii="Arial" w:hAnsi="Arial" w:cs="Arial"/>
          <w:sz w:val="21"/>
          <w:szCs w:val="21"/>
          <w:lang w:val="uk-UA"/>
        </w:rPr>
      </w:pPr>
      <w:r w:rsidRPr="00BB5C7B">
        <w:rPr>
          <w:rFonts w:ascii="Arial" w:hAnsi="Arial" w:cs="Arial"/>
          <w:sz w:val="21"/>
          <w:szCs w:val="21"/>
          <w:lang w:val="uk-UA"/>
        </w:rPr>
        <w:t>Інформація, отримана під час виконання аудиторських процедур, та зібрані докази надали нам достатню впевненість у тому, що фінансова звітність Товариства за рік, що закінчився 31 грудня 201</w:t>
      </w:r>
      <w:r>
        <w:rPr>
          <w:rFonts w:ascii="Arial" w:hAnsi="Arial" w:cs="Arial"/>
          <w:sz w:val="21"/>
          <w:szCs w:val="21"/>
          <w:lang w:val="uk-UA"/>
        </w:rPr>
        <w:t>5</w:t>
      </w:r>
      <w:r w:rsidRPr="00BB5C7B">
        <w:rPr>
          <w:rFonts w:ascii="Arial" w:hAnsi="Arial" w:cs="Arial"/>
          <w:sz w:val="21"/>
          <w:szCs w:val="21"/>
          <w:lang w:val="uk-UA"/>
        </w:rPr>
        <w:t xml:space="preserve"> року, у цілому не містить суттєвого викривлення внаслідок шахрайства чи помилок.</w:t>
      </w:r>
    </w:p>
    <w:p w:rsidR="00E62A26" w:rsidRPr="00BB5C7B" w:rsidRDefault="00E62A26" w:rsidP="00E62A26">
      <w:pPr>
        <w:pStyle w:val="aa"/>
        <w:spacing w:before="120" w:line="360" w:lineRule="auto"/>
        <w:ind w:left="2420"/>
        <w:jc w:val="both"/>
        <w:rPr>
          <w:rFonts w:ascii="Arial" w:hAnsi="Arial" w:cs="Arial"/>
          <w:sz w:val="21"/>
          <w:szCs w:val="21"/>
          <w:lang w:val="uk-UA"/>
        </w:rPr>
      </w:pPr>
      <w:r w:rsidRPr="00BB5C7B">
        <w:rPr>
          <w:rFonts w:ascii="Arial" w:hAnsi="Arial" w:cs="Arial"/>
          <w:sz w:val="21"/>
          <w:szCs w:val="21"/>
          <w:lang w:val="uk-UA"/>
        </w:rPr>
        <w:t>Водночас зазначаємо, що через обмеження, властиві аудиту, існує неминучий ризик того, що деякі суттєві викривлення фінансової звітності можуть бути не ідентифіковані навіть при належному виконанні аудиторської перевірки відповідно до  Міжнародних стандартів аудиту.</w:t>
      </w:r>
    </w:p>
    <w:p w:rsidR="00E62A26" w:rsidRPr="00BB5C7B" w:rsidRDefault="00E62A26" w:rsidP="00E62A26">
      <w:pPr>
        <w:pStyle w:val="aa"/>
        <w:spacing w:before="240" w:line="312" w:lineRule="auto"/>
        <w:ind w:left="2410"/>
        <w:jc w:val="both"/>
        <w:rPr>
          <w:rFonts w:ascii="Arial" w:hAnsi="Arial" w:cs="Arial"/>
          <w:sz w:val="21"/>
          <w:szCs w:val="21"/>
          <w:lang w:val="uk-UA"/>
        </w:rPr>
      </w:pPr>
    </w:p>
    <w:p w:rsidR="00E62A26" w:rsidRPr="00BE090D" w:rsidRDefault="00E62A26" w:rsidP="00E62A26">
      <w:pPr>
        <w:pStyle w:val="aa"/>
        <w:spacing w:before="120" w:line="360" w:lineRule="auto"/>
        <w:ind w:left="2410"/>
        <w:jc w:val="both"/>
        <w:rPr>
          <w:rFonts w:ascii="Arial" w:hAnsi="Arial" w:cs="Arial"/>
          <w:b/>
          <w:sz w:val="20"/>
          <w:szCs w:val="20"/>
          <w:lang w:val="uk-UA"/>
        </w:rPr>
      </w:pPr>
      <w:r>
        <w:rPr>
          <w:rFonts w:ascii="Arial" w:hAnsi="Arial" w:cs="Arial"/>
          <w:b/>
          <w:sz w:val="20"/>
          <w:szCs w:val="20"/>
          <w:lang w:val="uk-UA"/>
        </w:rPr>
        <w:br w:type="page"/>
      </w:r>
      <w:r w:rsidRPr="00BE090D">
        <w:rPr>
          <w:rFonts w:ascii="Arial" w:hAnsi="Arial" w:cs="Arial"/>
          <w:b/>
          <w:sz w:val="20"/>
          <w:szCs w:val="20"/>
          <w:lang w:val="uk-UA"/>
        </w:rPr>
        <w:t>ОСНОВНІ ВІДОМОСТІ ПРО АУДИТОРА (АУДИТОРСЬКУ ФІРМУ)</w:t>
      </w:r>
    </w:p>
    <w:p w:rsidR="00E62A26" w:rsidRPr="008D67A1" w:rsidRDefault="00E62A26" w:rsidP="00E62A26">
      <w:pPr>
        <w:spacing w:before="180" w:line="360" w:lineRule="auto"/>
        <w:ind w:left="2410"/>
        <w:jc w:val="both"/>
        <w:rPr>
          <w:rFonts w:ascii="Arial" w:hAnsi="Arial" w:cs="Arial"/>
          <w:sz w:val="21"/>
          <w:szCs w:val="21"/>
          <w:lang w:val="uk-UA"/>
        </w:rPr>
      </w:pPr>
      <w:r w:rsidRPr="008D67A1">
        <w:rPr>
          <w:rFonts w:ascii="Arial" w:hAnsi="Arial" w:cs="Arial"/>
          <w:sz w:val="21"/>
          <w:szCs w:val="21"/>
          <w:lang w:val="uk-UA"/>
        </w:rPr>
        <w:t>Товариство з обмеженою відповідальністю «СІВ Аудит Консалтинг»  зареєстроване в Єдиному державному реєстрі підприємств та організацій України (ідентифікаційний код 31065576).</w:t>
      </w:r>
    </w:p>
    <w:p w:rsidR="00E62A26" w:rsidRPr="008D67A1" w:rsidRDefault="00E62A26" w:rsidP="00E62A26">
      <w:pPr>
        <w:pStyle w:val="aa"/>
        <w:spacing w:before="120" w:line="360" w:lineRule="auto"/>
        <w:ind w:left="2410"/>
        <w:jc w:val="both"/>
        <w:rPr>
          <w:rFonts w:ascii="Arial" w:hAnsi="Arial" w:cs="Arial"/>
          <w:sz w:val="21"/>
          <w:szCs w:val="21"/>
          <w:lang w:val="uk-UA"/>
        </w:rPr>
      </w:pPr>
      <w:r w:rsidRPr="008D67A1">
        <w:rPr>
          <w:rFonts w:ascii="Arial" w:hAnsi="Arial" w:cs="Arial"/>
          <w:sz w:val="21"/>
          <w:szCs w:val="21"/>
          <w:lang w:val="uk-UA"/>
        </w:rPr>
        <w:t xml:space="preserve">Товариство з обмеженою відповідальністю «СІВ Аудит Консалтинг»  здійснює </w:t>
      </w:r>
      <w:r w:rsidRPr="00A112A1">
        <w:rPr>
          <w:rFonts w:ascii="Arial" w:hAnsi="Arial" w:cs="Arial"/>
          <w:sz w:val="21"/>
          <w:szCs w:val="21"/>
          <w:lang w:val="uk-UA"/>
        </w:rPr>
        <w:t>діяльність на підставі Свідоцтва про включення до Реєстру аудиторських фірм та аудиторів № 2410, виданого згідно з рішенням Аудиторської палати України від 30.03.2001 р. № 100 та подовженого рішенням Аудиторської палати України від 24 грудня 2015 року № 319/2 до 24 грудня 2020 року.</w:t>
      </w:r>
      <w:r w:rsidRPr="008D67A1">
        <w:rPr>
          <w:rFonts w:ascii="Arial" w:hAnsi="Arial" w:cs="Arial"/>
          <w:sz w:val="21"/>
          <w:szCs w:val="21"/>
          <w:lang w:val="uk-UA"/>
        </w:rPr>
        <w:t xml:space="preserve"> </w:t>
      </w:r>
    </w:p>
    <w:p w:rsidR="00E62A26" w:rsidRPr="008D67A1" w:rsidRDefault="00E62A26" w:rsidP="00E62A26">
      <w:pPr>
        <w:pStyle w:val="aa"/>
        <w:spacing w:before="120" w:line="360" w:lineRule="auto"/>
        <w:ind w:left="2410"/>
        <w:jc w:val="both"/>
        <w:rPr>
          <w:rFonts w:ascii="Arial" w:hAnsi="Arial" w:cs="Arial"/>
          <w:sz w:val="21"/>
          <w:szCs w:val="21"/>
          <w:lang w:val="uk-UA"/>
        </w:rPr>
      </w:pPr>
      <w:r w:rsidRPr="00A112A1">
        <w:rPr>
          <w:rFonts w:ascii="Arial" w:hAnsi="Arial" w:cs="Arial"/>
          <w:sz w:val="21"/>
          <w:szCs w:val="21"/>
          <w:lang w:val="uk-UA"/>
        </w:rPr>
        <w:t xml:space="preserve">Товариство з обмеженою відповідальністю «СІВ Аудит Консалтинг»  </w:t>
      </w:r>
      <w:proofErr w:type="spellStart"/>
      <w:r w:rsidRPr="00A112A1">
        <w:rPr>
          <w:rFonts w:ascii="Arial" w:hAnsi="Arial" w:cs="Arial"/>
          <w:sz w:val="21"/>
          <w:szCs w:val="21"/>
          <w:lang w:val="uk-UA"/>
        </w:rPr>
        <w:t>внесено</w:t>
      </w:r>
      <w:proofErr w:type="spellEnd"/>
      <w:r w:rsidRPr="00A112A1">
        <w:rPr>
          <w:rFonts w:ascii="Arial" w:hAnsi="Arial" w:cs="Arial"/>
          <w:sz w:val="21"/>
          <w:szCs w:val="21"/>
          <w:lang w:val="uk-UA"/>
        </w:rPr>
        <w:t xml:space="preserve"> до реєстру аудиторських фірм, які можуть проводити аудиторські перевірки професійних учасників ринку цінних паперів (реєстраційний номер Свідоцтва </w:t>
      </w:r>
      <w:r>
        <w:rPr>
          <w:rFonts w:ascii="Arial" w:hAnsi="Arial" w:cs="Arial"/>
          <w:sz w:val="21"/>
          <w:szCs w:val="21"/>
          <w:lang w:val="uk-UA"/>
        </w:rPr>
        <w:t>367</w:t>
      </w:r>
      <w:r w:rsidRPr="00A112A1">
        <w:rPr>
          <w:rFonts w:ascii="Arial" w:hAnsi="Arial" w:cs="Arial"/>
          <w:sz w:val="21"/>
          <w:szCs w:val="21"/>
          <w:lang w:val="uk-UA"/>
        </w:rPr>
        <w:t>; серія та номер П 000</w:t>
      </w:r>
      <w:r>
        <w:rPr>
          <w:rFonts w:ascii="Arial" w:hAnsi="Arial" w:cs="Arial"/>
          <w:sz w:val="21"/>
          <w:szCs w:val="21"/>
          <w:lang w:val="uk-UA"/>
        </w:rPr>
        <w:t>367</w:t>
      </w:r>
      <w:r w:rsidRPr="00A112A1">
        <w:rPr>
          <w:rFonts w:ascii="Arial" w:hAnsi="Arial" w:cs="Arial"/>
          <w:sz w:val="21"/>
          <w:szCs w:val="21"/>
          <w:lang w:val="uk-UA"/>
        </w:rPr>
        <w:t xml:space="preserve">; дата видачі </w:t>
      </w:r>
      <w:r>
        <w:rPr>
          <w:rFonts w:ascii="Arial" w:hAnsi="Arial" w:cs="Arial"/>
          <w:sz w:val="21"/>
          <w:szCs w:val="21"/>
          <w:lang w:val="uk-UA"/>
        </w:rPr>
        <w:t>10</w:t>
      </w:r>
      <w:r w:rsidRPr="00A112A1">
        <w:rPr>
          <w:rFonts w:ascii="Arial" w:hAnsi="Arial" w:cs="Arial"/>
          <w:sz w:val="21"/>
          <w:szCs w:val="21"/>
          <w:lang w:val="uk-UA"/>
        </w:rPr>
        <w:t>.0</w:t>
      </w:r>
      <w:r>
        <w:rPr>
          <w:rFonts w:ascii="Arial" w:hAnsi="Arial" w:cs="Arial"/>
          <w:sz w:val="21"/>
          <w:szCs w:val="21"/>
          <w:lang w:val="uk-UA"/>
        </w:rPr>
        <w:t>3</w:t>
      </w:r>
      <w:r w:rsidRPr="00A112A1">
        <w:rPr>
          <w:rFonts w:ascii="Arial" w:hAnsi="Arial" w:cs="Arial"/>
          <w:sz w:val="21"/>
          <w:szCs w:val="21"/>
          <w:lang w:val="uk-UA"/>
        </w:rPr>
        <w:t>.201</w:t>
      </w:r>
      <w:r>
        <w:rPr>
          <w:rFonts w:ascii="Arial" w:hAnsi="Arial" w:cs="Arial"/>
          <w:sz w:val="21"/>
          <w:szCs w:val="21"/>
          <w:lang w:val="uk-UA"/>
        </w:rPr>
        <w:t>6</w:t>
      </w:r>
      <w:r w:rsidRPr="00A112A1">
        <w:rPr>
          <w:rFonts w:ascii="Arial" w:hAnsi="Arial" w:cs="Arial"/>
          <w:sz w:val="21"/>
          <w:szCs w:val="21"/>
          <w:lang w:val="uk-UA"/>
        </w:rPr>
        <w:t xml:space="preserve"> р.; строк дії з 1</w:t>
      </w:r>
      <w:r>
        <w:rPr>
          <w:rFonts w:ascii="Arial" w:hAnsi="Arial" w:cs="Arial"/>
          <w:sz w:val="21"/>
          <w:szCs w:val="21"/>
          <w:lang w:val="uk-UA"/>
        </w:rPr>
        <w:t>0</w:t>
      </w:r>
      <w:r w:rsidRPr="00A112A1">
        <w:rPr>
          <w:rFonts w:ascii="Arial" w:hAnsi="Arial" w:cs="Arial"/>
          <w:sz w:val="21"/>
          <w:szCs w:val="21"/>
          <w:lang w:val="uk-UA"/>
        </w:rPr>
        <w:t>.0</w:t>
      </w:r>
      <w:r>
        <w:rPr>
          <w:rFonts w:ascii="Arial" w:hAnsi="Arial" w:cs="Arial"/>
          <w:sz w:val="21"/>
          <w:szCs w:val="21"/>
          <w:lang w:val="uk-UA"/>
        </w:rPr>
        <w:t>3</w:t>
      </w:r>
      <w:r w:rsidRPr="00A112A1">
        <w:rPr>
          <w:rFonts w:ascii="Arial" w:hAnsi="Arial" w:cs="Arial"/>
          <w:sz w:val="21"/>
          <w:szCs w:val="21"/>
          <w:lang w:val="uk-UA"/>
        </w:rPr>
        <w:t>.201</w:t>
      </w:r>
      <w:r>
        <w:rPr>
          <w:rFonts w:ascii="Arial" w:hAnsi="Arial" w:cs="Arial"/>
          <w:sz w:val="21"/>
          <w:szCs w:val="21"/>
          <w:lang w:val="uk-UA"/>
        </w:rPr>
        <w:t>6</w:t>
      </w:r>
      <w:r w:rsidRPr="00A112A1">
        <w:rPr>
          <w:rFonts w:ascii="Arial" w:hAnsi="Arial" w:cs="Arial"/>
          <w:sz w:val="21"/>
          <w:szCs w:val="21"/>
          <w:lang w:val="uk-UA"/>
        </w:rPr>
        <w:t xml:space="preserve"> р. до 24.</w:t>
      </w:r>
      <w:r>
        <w:rPr>
          <w:rFonts w:ascii="Arial" w:hAnsi="Arial" w:cs="Arial"/>
          <w:sz w:val="21"/>
          <w:szCs w:val="21"/>
          <w:lang w:val="uk-UA"/>
        </w:rPr>
        <w:t>1</w:t>
      </w:r>
      <w:r w:rsidRPr="00A112A1">
        <w:rPr>
          <w:rFonts w:ascii="Arial" w:hAnsi="Arial" w:cs="Arial"/>
          <w:sz w:val="21"/>
          <w:szCs w:val="21"/>
          <w:lang w:val="uk-UA"/>
        </w:rPr>
        <w:t>2.20</w:t>
      </w:r>
      <w:r>
        <w:rPr>
          <w:rFonts w:ascii="Arial" w:hAnsi="Arial" w:cs="Arial"/>
          <w:sz w:val="21"/>
          <w:szCs w:val="21"/>
          <w:lang w:val="uk-UA"/>
        </w:rPr>
        <w:t>20</w:t>
      </w:r>
      <w:r w:rsidRPr="00A112A1">
        <w:rPr>
          <w:rFonts w:ascii="Arial" w:hAnsi="Arial" w:cs="Arial"/>
          <w:sz w:val="21"/>
          <w:szCs w:val="21"/>
          <w:lang w:val="uk-UA"/>
        </w:rPr>
        <w:t xml:space="preserve"> р.)</w:t>
      </w:r>
    </w:p>
    <w:p w:rsidR="00E62A26" w:rsidRPr="008D67A1" w:rsidRDefault="00E62A26" w:rsidP="00E62A26">
      <w:pPr>
        <w:shd w:val="clear" w:color="auto" w:fill="FFFFFF"/>
        <w:spacing w:before="120" w:after="120" w:line="360" w:lineRule="auto"/>
        <w:ind w:left="2410" w:right="74"/>
        <w:jc w:val="both"/>
        <w:rPr>
          <w:rFonts w:ascii="Arial" w:hAnsi="Arial" w:cs="Arial"/>
          <w:color w:val="000000"/>
          <w:spacing w:val="-2"/>
          <w:sz w:val="21"/>
          <w:szCs w:val="21"/>
          <w:lang w:val="uk-UA"/>
        </w:rPr>
      </w:pPr>
      <w:r w:rsidRPr="008D67A1">
        <w:rPr>
          <w:rFonts w:ascii="Arial" w:hAnsi="Arial" w:cs="Arial"/>
          <w:color w:val="000000"/>
          <w:spacing w:val="-2"/>
          <w:sz w:val="21"/>
          <w:szCs w:val="21"/>
          <w:lang w:val="uk-UA"/>
        </w:rPr>
        <w:t xml:space="preserve">Місцезнаходження аудитора: Україна, </w:t>
      </w:r>
      <w:smartTag w:uri="urn:schemas-microsoft-com:office:smarttags" w:element="metricconverter">
        <w:smartTagPr>
          <w:attr w:name="ProductID" w:val="02088, м"/>
        </w:smartTagPr>
        <w:r w:rsidRPr="008D67A1">
          <w:rPr>
            <w:rFonts w:ascii="Arial" w:hAnsi="Arial" w:cs="Arial"/>
            <w:color w:val="000000"/>
            <w:spacing w:val="-2"/>
            <w:sz w:val="21"/>
            <w:szCs w:val="21"/>
            <w:lang w:val="uk-UA"/>
          </w:rPr>
          <w:t>02088, м</w:t>
        </w:r>
      </w:smartTag>
      <w:r w:rsidRPr="008D67A1">
        <w:rPr>
          <w:rFonts w:ascii="Arial" w:hAnsi="Arial" w:cs="Arial"/>
          <w:color w:val="000000"/>
          <w:spacing w:val="-2"/>
          <w:sz w:val="21"/>
          <w:szCs w:val="21"/>
          <w:lang w:val="uk-UA"/>
        </w:rPr>
        <w:t>. Київ, вул. Леніна, 64.</w:t>
      </w:r>
    </w:p>
    <w:p w:rsidR="00E62A26" w:rsidRPr="008D67A1" w:rsidRDefault="00E62A26" w:rsidP="00E62A26">
      <w:pPr>
        <w:shd w:val="clear" w:color="auto" w:fill="FFFFFF"/>
        <w:spacing w:before="120" w:after="120" w:line="360" w:lineRule="auto"/>
        <w:ind w:left="2410" w:right="74"/>
        <w:jc w:val="both"/>
        <w:rPr>
          <w:rFonts w:ascii="Arial" w:hAnsi="Arial" w:cs="Arial"/>
          <w:color w:val="000000"/>
          <w:sz w:val="21"/>
          <w:szCs w:val="21"/>
          <w:lang w:val="uk-UA"/>
        </w:rPr>
      </w:pPr>
      <w:r w:rsidRPr="008D67A1">
        <w:rPr>
          <w:rFonts w:ascii="Arial" w:hAnsi="Arial" w:cs="Arial"/>
          <w:color w:val="000000"/>
          <w:sz w:val="21"/>
          <w:szCs w:val="21"/>
          <w:lang w:val="uk-UA"/>
        </w:rPr>
        <w:t xml:space="preserve">Телефон: </w:t>
      </w:r>
      <w:r w:rsidRPr="008D67A1">
        <w:rPr>
          <w:rFonts w:ascii="Arial" w:hAnsi="Arial" w:cs="Arial"/>
          <w:color w:val="000000"/>
          <w:sz w:val="21"/>
          <w:szCs w:val="21"/>
          <w:lang w:val="ru-RU"/>
        </w:rPr>
        <w:tab/>
      </w:r>
      <w:r w:rsidRPr="008D67A1">
        <w:rPr>
          <w:rFonts w:ascii="Arial" w:hAnsi="Arial" w:cs="Arial"/>
          <w:color w:val="000000"/>
          <w:sz w:val="21"/>
          <w:szCs w:val="21"/>
          <w:lang w:val="ru-RU"/>
        </w:rPr>
        <w:tab/>
      </w:r>
      <w:r w:rsidRPr="008D67A1">
        <w:rPr>
          <w:rFonts w:ascii="Arial" w:hAnsi="Arial" w:cs="Arial"/>
          <w:color w:val="000000"/>
          <w:sz w:val="21"/>
          <w:szCs w:val="21"/>
          <w:lang w:val="uk-UA"/>
        </w:rPr>
        <w:t>+38 0 44 561 25 68</w:t>
      </w:r>
    </w:p>
    <w:p w:rsidR="00E62A26" w:rsidRPr="00D46D00" w:rsidRDefault="00E62A26" w:rsidP="00E62A26">
      <w:pPr>
        <w:pStyle w:val="aa"/>
        <w:spacing w:before="120" w:line="360" w:lineRule="auto"/>
        <w:ind w:left="2410"/>
        <w:jc w:val="both"/>
        <w:rPr>
          <w:rFonts w:ascii="Arial" w:hAnsi="Arial" w:cs="Arial"/>
          <w:color w:val="000000"/>
          <w:lang w:val="uk-UA"/>
        </w:rPr>
      </w:pPr>
      <w:r w:rsidRPr="008D67A1">
        <w:rPr>
          <w:rFonts w:ascii="Arial" w:hAnsi="Arial" w:cs="Arial"/>
          <w:color w:val="000000"/>
          <w:sz w:val="21"/>
          <w:szCs w:val="21"/>
          <w:lang w:val="uk-UA"/>
        </w:rPr>
        <w:t xml:space="preserve">Аудит </w:t>
      </w:r>
      <w:r w:rsidRPr="00A112A1">
        <w:rPr>
          <w:rFonts w:ascii="Arial" w:hAnsi="Arial" w:cs="Arial"/>
          <w:color w:val="000000"/>
          <w:sz w:val="21"/>
          <w:szCs w:val="21"/>
          <w:lang w:val="uk-UA"/>
        </w:rPr>
        <w:t xml:space="preserve">проведено згідно з Договором про надання аудиторських послуг № 01 від 15.02.2016 р.  Аудиторську перевірку розпочато 15.02.2016 р. та завершено 15.04.2016 року. </w:t>
      </w:r>
      <w:r w:rsidRPr="00A112A1">
        <w:rPr>
          <w:rFonts w:ascii="Arial" w:hAnsi="Arial" w:cs="Arial"/>
          <w:sz w:val="21"/>
          <w:szCs w:val="21"/>
          <w:lang w:val="uk-UA"/>
        </w:rPr>
        <w:t>Аудиторську перевірку проводила аудитор Пономаренко Ірина Олександрівна (сертифікат аудитора № 006767, виданий на підставі рішення Аудиторської палати України від 23.12.2010 р. № 224/2 та чинний до 23.12.2020 р.).</w:t>
      </w:r>
    </w:p>
    <w:p w:rsidR="00E62A26" w:rsidRPr="000E2A5D" w:rsidRDefault="00E62A26" w:rsidP="00E62A26">
      <w:pPr>
        <w:pStyle w:val="aa"/>
        <w:spacing w:before="120" w:line="360" w:lineRule="auto"/>
        <w:ind w:left="2410"/>
        <w:jc w:val="both"/>
        <w:rPr>
          <w:rFonts w:ascii="Arial" w:hAnsi="Arial" w:cs="Arial"/>
          <w:b/>
          <w:lang w:val="uk-UA"/>
        </w:rPr>
      </w:pPr>
    </w:p>
    <w:p w:rsidR="00E62A26" w:rsidRPr="00520939" w:rsidRDefault="00E62A26" w:rsidP="00E62A26">
      <w:pPr>
        <w:pStyle w:val="aa"/>
        <w:spacing w:before="120" w:line="360" w:lineRule="auto"/>
        <w:ind w:left="2410"/>
        <w:jc w:val="both"/>
        <w:rPr>
          <w:rFonts w:ascii="Arial" w:hAnsi="Arial" w:cs="Arial"/>
          <w:color w:val="000000"/>
          <w:lang w:val="uk-UA"/>
        </w:rPr>
      </w:pPr>
      <w:r w:rsidRPr="00BE090D">
        <w:rPr>
          <w:rFonts w:ascii="Arial" w:hAnsi="Arial" w:cs="Arial"/>
          <w:b/>
          <w:lang w:val="uk-UA"/>
        </w:rPr>
        <w:t xml:space="preserve">Директор  </w:t>
      </w:r>
    </w:p>
    <w:p w:rsidR="00E62A26" w:rsidRDefault="00E62A26" w:rsidP="00E62A26">
      <w:pPr>
        <w:shd w:val="clear" w:color="auto" w:fill="FFFFFF"/>
        <w:spacing w:line="360" w:lineRule="auto"/>
        <w:ind w:left="2410"/>
        <w:jc w:val="both"/>
        <w:rPr>
          <w:rFonts w:ascii="Arial" w:hAnsi="Arial" w:cs="Arial"/>
          <w:b/>
          <w:spacing w:val="-9"/>
          <w:lang w:val="uk-UA"/>
        </w:rPr>
      </w:pPr>
      <w:r w:rsidRPr="00BE090D">
        <w:rPr>
          <w:rFonts w:ascii="Arial" w:hAnsi="Arial" w:cs="Arial"/>
          <w:b/>
          <w:spacing w:val="-9"/>
          <w:lang w:val="uk-UA"/>
        </w:rPr>
        <w:t xml:space="preserve">ТОВ «СIB Аудит Консалтинг» </w:t>
      </w:r>
      <w:r w:rsidRPr="00163A7D">
        <w:rPr>
          <w:rFonts w:ascii="Arial" w:hAnsi="Arial" w:cs="Arial"/>
          <w:b/>
          <w:spacing w:val="-9"/>
          <w:lang w:val="ru-RU"/>
        </w:rPr>
        <w:t xml:space="preserve">              </w:t>
      </w:r>
      <w:r w:rsidRPr="00BE090D">
        <w:rPr>
          <w:rFonts w:ascii="Arial" w:hAnsi="Arial" w:cs="Arial"/>
          <w:b/>
          <w:spacing w:val="-9"/>
          <w:lang w:val="uk-UA"/>
        </w:rPr>
        <w:t xml:space="preserve">  </w:t>
      </w:r>
      <w:r>
        <w:rPr>
          <w:rFonts w:ascii="Arial" w:hAnsi="Arial" w:cs="Arial"/>
          <w:b/>
          <w:spacing w:val="-9"/>
          <w:lang w:val="uk-UA"/>
        </w:rPr>
        <w:t xml:space="preserve">                           </w:t>
      </w:r>
      <w:proofErr w:type="spellStart"/>
      <w:r>
        <w:rPr>
          <w:rFonts w:ascii="Arial" w:hAnsi="Arial" w:cs="Arial"/>
          <w:b/>
          <w:spacing w:val="-9"/>
          <w:lang w:val="uk-UA"/>
        </w:rPr>
        <w:t>І.О.</w:t>
      </w:r>
      <w:r w:rsidRPr="00BE090D">
        <w:rPr>
          <w:rFonts w:ascii="Arial" w:hAnsi="Arial" w:cs="Arial"/>
          <w:b/>
          <w:spacing w:val="-9"/>
          <w:lang w:val="uk-UA"/>
        </w:rPr>
        <w:t>Пономаренко</w:t>
      </w:r>
      <w:proofErr w:type="spellEnd"/>
    </w:p>
    <w:p w:rsidR="00E62A26" w:rsidRDefault="00E62A26" w:rsidP="00E62A26">
      <w:pPr>
        <w:shd w:val="clear" w:color="auto" w:fill="FFFFFF"/>
        <w:spacing w:line="360" w:lineRule="auto"/>
        <w:ind w:left="2410"/>
        <w:jc w:val="both"/>
        <w:rPr>
          <w:rFonts w:ascii="Arial" w:hAnsi="Arial" w:cs="Arial"/>
          <w:b/>
          <w:spacing w:val="-9"/>
          <w:lang w:val="uk-UA"/>
        </w:rPr>
      </w:pPr>
    </w:p>
    <w:p w:rsidR="00E62A26" w:rsidRDefault="00E62A26" w:rsidP="00E62A26">
      <w:pPr>
        <w:spacing w:line="200" w:lineRule="exact"/>
        <w:ind w:left="2410"/>
        <w:rPr>
          <w:rFonts w:ascii="Arial" w:hAnsi="Arial" w:cs="Arial"/>
          <w:color w:val="000000"/>
          <w:spacing w:val="-2"/>
          <w:lang w:val="uk-UA"/>
        </w:rPr>
      </w:pPr>
      <w:r w:rsidRPr="008D67A1">
        <w:rPr>
          <w:rFonts w:ascii="Arial" w:hAnsi="Arial" w:cs="Arial"/>
          <w:color w:val="000000"/>
          <w:spacing w:val="-2"/>
          <w:lang w:val="uk-UA"/>
        </w:rPr>
        <w:t>«1</w:t>
      </w:r>
      <w:r>
        <w:rPr>
          <w:rFonts w:ascii="Arial" w:hAnsi="Arial" w:cs="Arial"/>
          <w:color w:val="000000"/>
          <w:spacing w:val="-2"/>
          <w:lang w:val="uk-UA"/>
        </w:rPr>
        <w:t>5</w:t>
      </w:r>
      <w:r w:rsidRPr="008D67A1">
        <w:rPr>
          <w:rFonts w:ascii="Arial" w:hAnsi="Arial" w:cs="Arial"/>
          <w:color w:val="000000"/>
          <w:spacing w:val="-2"/>
          <w:lang w:val="uk-UA"/>
        </w:rPr>
        <w:t xml:space="preserve">» </w:t>
      </w:r>
      <w:r>
        <w:rPr>
          <w:rFonts w:ascii="Arial" w:hAnsi="Arial" w:cs="Arial"/>
          <w:color w:val="000000"/>
          <w:spacing w:val="-2"/>
          <w:lang w:val="uk-UA"/>
        </w:rPr>
        <w:t>квітня</w:t>
      </w:r>
      <w:r w:rsidRPr="008D67A1">
        <w:rPr>
          <w:rFonts w:ascii="Arial" w:hAnsi="Arial" w:cs="Arial"/>
          <w:color w:val="000000"/>
          <w:spacing w:val="-2"/>
          <w:lang w:val="uk-UA"/>
        </w:rPr>
        <w:t xml:space="preserve"> 201</w:t>
      </w:r>
      <w:r>
        <w:rPr>
          <w:rFonts w:ascii="Arial" w:hAnsi="Arial" w:cs="Arial"/>
          <w:color w:val="000000"/>
          <w:spacing w:val="-2"/>
          <w:lang w:val="uk-UA"/>
        </w:rPr>
        <w:t>6</w:t>
      </w:r>
      <w:r w:rsidRPr="008D67A1">
        <w:rPr>
          <w:rFonts w:ascii="Arial" w:hAnsi="Arial" w:cs="Arial"/>
          <w:color w:val="000000"/>
          <w:spacing w:val="-2"/>
          <w:lang w:val="uk-UA"/>
        </w:rPr>
        <w:t xml:space="preserve"> р.</w:t>
      </w:r>
    </w:p>
    <w:p w:rsidR="00E62A26" w:rsidRPr="008D67A1" w:rsidRDefault="00E62A26" w:rsidP="00E62A26">
      <w:pPr>
        <w:spacing w:line="200" w:lineRule="exact"/>
        <w:ind w:left="2410"/>
        <w:rPr>
          <w:rFonts w:ascii="Arial" w:hAnsi="Arial" w:cs="Arial"/>
          <w:color w:val="000000"/>
          <w:spacing w:val="-2"/>
          <w:lang w:val="uk-UA"/>
        </w:rPr>
      </w:pPr>
    </w:p>
    <w:p w:rsidR="00E62A26" w:rsidRPr="00520939" w:rsidRDefault="00E62A26" w:rsidP="00E62A26">
      <w:pPr>
        <w:spacing w:line="200" w:lineRule="exact"/>
        <w:ind w:left="2410"/>
        <w:rPr>
          <w:sz w:val="20"/>
          <w:szCs w:val="20"/>
          <w:lang w:val="uk-UA"/>
        </w:rPr>
      </w:pPr>
      <w:r w:rsidRPr="008D67A1">
        <w:rPr>
          <w:rFonts w:ascii="Arial" w:hAnsi="Arial" w:cs="Arial"/>
          <w:color w:val="000000"/>
          <w:spacing w:val="-2"/>
          <w:lang w:val="uk-UA"/>
        </w:rPr>
        <w:t>м. Київ, вул. Леніна, 64</w:t>
      </w:r>
      <w:r w:rsidRPr="00520939">
        <w:rPr>
          <w:sz w:val="20"/>
          <w:szCs w:val="20"/>
          <w:lang w:val="uk-UA"/>
        </w:rPr>
        <w:t xml:space="preserve"> </w:t>
      </w:r>
    </w:p>
    <w:p w:rsidR="00445614" w:rsidRDefault="00E62A26">
      <w:bookmarkStart w:id="0" w:name="_GoBack"/>
      <w:bookmarkEnd w:id="0"/>
    </w:p>
    <w:sectPr w:rsidR="00445614" w:rsidSect="00034090">
      <w:headerReference w:type="default" r:id="rId6"/>
      <w:footerReference w:type="default" r:id="rId7"/>
      <w:pgSz w:w="11910" w:h="16840"/>
      <w:pgMar w:top="1540" w:right="1680" w:bottom="780" w:left="640" w:header="624"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w:altName w:val="UkrainianJournal"/>
    <w:panose1 w:val="020B0604020202020204"/>
    <w:charset w:val="CC"/>
    <w:family w:val="swiss"/>
    <w:pitch w:val="variable"/>
    <w:sig w:usb0="E0002A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C0" w:rsidRPr="00D7658B" w:rsidRDefault="00E62A26" w:rsidP="00034090">
    <w:pPr>
      <w:pStyle w:val="a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C0" w:rsidRDefault="00E62A26" w:rsidP="00D80B01">
    <w:pPr>
      <w:kinsoku w:val="0"/>
      <w:overflowPunct w:val="0"/>
      <w:spacing w:before="99"/>
      <w:ind w:left="107"/>
      <w:rPr>
        <w:sz w:val="20"/>
        <w:szCs w:val="20"/>
      </w:rPr>
    </w:pPr>
    <w:r>
      <w:rPr>
        <w:noProof/>
        <w:lang w:val="ru-RU" w:eastAsia="ru-RU"/>
      </w:rPr>
      <w:drawing>
        <wp:inline distT="0" distB="0" distL="0" distR="0">
          <wp:extent cx="967740" cy="373380"/>
          <wp:effectExtent l="0" t="0" r="381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373380"/>
                  </a:xfrm>
                  <a:prstGeom prst="rect">
                    <a:avLst/>
                  </a:prstGeom>
                  <a:noFill/>
                  <a:ln>
                    <a:noFill/>
                  </a:ln>
                </pic:spPr>
              </pic:pic>
            </a:graphicData>
          </a:graphic>
        </wp:inline>
      </w:drawing>
    </w:r>
  </w:p>
  <w:p w:rsidR="00FF4FC0" w:rsidRDefault="00E62A26" w:rsidP="00D80B01">
    <w:pPr>
      <w:kinsoku w:val="0"/>
      <w:overflowPunct w:val="0"/>
      <w:spacing w:before="2" w:line="120" w:lineRule="exact"/>
      <w:rPr>
        <w:sz w:val="12"/>
        <w:szCs w:val="12"/>
      </w:rPr>
    </w:pPr>
  </w:p>
  <w:p w:rsidR="00FF4FC0" w:rsidRPr="001C46C5" w:rsidRDefault="00E62A26" w:rsidP="00D80B01">
    <w:pPr>
      <w:pStyle w:val="a4"/>
      <w:kinsoku w:val="0"/>
      <w:overflowPunct w:val="0"/>
      <w:rPr>
        <w:rFonts w:ascii="Calibri" w:hAnsi="Calibri"/>
        <w:color w:val="000000"/>
        <w:sz w:val="12"/>
        <w:szCs w:val="12"/>
        <w:lang w:val="ru-RU"/>
      </w:rPr>
    </w:pPr>
    <w:r w:rsidRPr="001C46C5">
      <w:rPr>
        <w:rFonts w:ascii="Calibri" w:hAnsi="Calibri"/>
        <w:color w:val="9EA1A3"/>
        <w:w w:val="90"/>
        <w:sz w:val="12"/>
        <w:szCs w:val="12"/>
      </w:rPr>
      <w:t>A</w:t>
    </w:r>
    <w:r w:rsidRPr="001C46C5">
      <w:rPr>
        <w:rFonts w:ascii="Calibri" w:hAnsi="Calibri"/>
        <w:color w:val="9EA1A3"/>
        <w:spacing w:val="12"/>
        <w:w w:val="90"/>
        <w:sz w:val="12"/>
        <w:szCs w:val="12"/>
        <w:lang w:val="ru-RU"/>
      </w:rPr>
      <w:t xml:space="preserve"> </w:t>
    </w:r>
    <w:r w:rsidRPr="001C46C5">
      <w:rPr>
        <w:rFonts w:ascii="Calibri" w:hAnsi="Calibri" w:cs="Calibri"/>
        <w:color w:val="9EA1A3"/>
        <w:w w:val="90"/>
        <w:sz w:val="12"/>
        <w:szCs w:val="12"/>
        <w:lang w:val="ru-RU"/>
      </w:rPr>
      <w:t>У</w:t>
    </w:r>
    <w:r w:rsidRPr="001C46C5">
      <w:rPr>
        <w:rFonts w:ascii="Calibri" w:hAnsi="Calibri"/>
        <w:color w:val="9EA1A3"/>
        <w:w w:val="90"/>
        <w:sz w:val="12"/>
        <w:szCs w:val="12"/>
        <w:lang w:val="ru-RU"/>
      </w:rPr>
      <w:t xml:space="preserve"> </w:t>
    </w:r>
    <w:r w:rsidRPr="001C46C5">
      <w:rPr>
        <w:rFonts w:ascii="Calibri" w:hAnsi="Calibri" w:cs="Cambria"/>
        <w:color w:val="9EA1A3"/>
        <w:w w:val="90"/>
        <w:sz w:val="12"/>
        <w:szCs w:val="12"/>
        <w:lang w:val="ru-RU"/>
      </w:rPr>
      <w:t>Д</w:t>
    </w:r>
    <w:r w:rsidRPr="001C46C5">
      <w:rPr>
        <w:rFonts w:ascii="Calibri" w:hAnsi="Calibri"/>
        <w:color w:val="9EA1A3"/>
        <w:w w:val="90"/>
        <w:sz w:val="12"/>
        <w:szCs w:val="12"/>
        <w:lang w:val="ru-RU"/>
      </w:rPr>
      <w:t xml:space="preserve"> </w:t>
    </w:r>
    <w:r w:rsidRPr="001C46C5">
      <w:rPr>
        <w:rFonts w:ascii="Calibri" w:hAnsi="Calibri" w:cs="Cambria"/>
        <w:color w:val="9EA1A3"/>
        <w:w w:val="90"/>
        <w:sz w:val="12"/>
        <w:szCs w:val="12"/>
        <w:lang w:val="ru-RU"/>
      </w:rPr>
      <w:t>И</w:t>
    </w:r>
    <w:r w:rsidRPr="001C46C5">
      <w:rPr>
        <w:rFonts w:ascii="Calibri" w:hAnsi="Calibri"/>
        <w:color w:val="9EA1A3"/>
        <w:w w:val="90"/>
        <w:sz w:val="12"/>
        <w:szCs w:val="12"/>
        <w:lang w:val="ru-RU"/>
      </w:rPr>
      <w:t xml:space="preserve"> </w:t>
    </w:r>
    <w:r w:rsidRPr="001C46C5">
      <w:rPr>
        <w:rFonts w:ascii="Calibri" w:hAnsi="Calibri" w:cs="Cambria"/>
        <w:color w:val="9EA1A3"/>
        <w:w w:val="90"/>
        <w:sz w:val="12"/>
        <w:szCs w:val="12"/>
        <w:lang w:val="ru-RU"/>
      </w:rPr>
      <w:t>Т</w:t>
    </w:r>
    <w:r w:rsidRPr="001C46C5">
      <w:rPr>
        <w:rFonts w:ascii="Calibri" w:hAnsi="Calibri"/>
        <w:color w:val="9EA1A3"/>
        <w:w w:val="90"/>
        <w:sz w:val="12"/>
        <w:szCs w:val="12"/>
        <w:lang w:val="ru-RU"/>
      </w:rPr>
      <w:t xml:space="preserve">  </w:t>
    </w:r>
    <w:r w:rsidRPr="001C46C5">
      <w:rPr>
        <w:rFonts w:ascii="Calibri" w:hAnsi="Calibri"/>
        <w:color w:val="9EA1A3"/>
        <w:spacing w:val="1"/>
        <w:w w:val="90"/>
        <w:sz w:val="12"/>
        <w:szCs w:val="12"/>
        <w:lang w:val="ru-RU"/>
      </w:rPr>
      <w:t xml:space="preserve"> </w:t>
    </w:r>
    <w:r w:rsidRPr="001C46C5">
      <w:rPr>
        <w:rFonts w:ascii="Calibri" w:hAnsi="Calibri"/>
        <w:color w:val="9EA1A3"/>
        <w:w w:val="90"/>
        <w:sz w:val="12"/>
        <w:szCs w:val="12"/>
      </w:rPr>
      <w:t>K</w:t>
    </w:r>
    <w:r w:rsidRPr="001C46C5">
      <w:rPr>
        <w:rFonts w:ascii="Calibri" w:hAnsi="Calibri"/>
        <w:color w:val="9EA1A3"/>
        <w:spacing w:val="15"/>
        <w:w w:val="90"/>
        <w:sz w:val="12"/>
        <w:szCs w:val="12"/>
        <w:lang w:val="ru-RU"/>
      </w:rPr>
      <w:t xml:space="preserve"> </w:t>
    </w:r>
    <w:r w:rsidRPr="001C46C5">
      <w:rPr>
        <w:rFonts w:ascii="Calibri" w:hAnsi="Calibri"/>
        <w:color w:val="9EA1A3"/>
        <w:w w:val="90"/>
        <w:sz w:val="12"/>
        <w:szCs w:val="12"/>
      </w:rPr>
      <w:t>O</w:t>
    </w:r>
    <w:r w:rsidRPr="001C46C5">
      <w:rPr>
        <w:rFonts w:ascii="Calibri" w:hAnsi="Calibri"/>
        <w:color w:val="9EA1A3"/>
        <w:spacing w:val="10"/>
        <w:w w:val="90"/>
        <w:sz w:val="12"/>
        <w:szCs w:val="12"/>
        <w:lang w:val="ru-RU"/>
      </w:rPr>
      <w:t xml:space="preserve"> </w:t>
    </w:r>
    <w:r w:rsidRPr="001C46C5">
      <w:rPr>
        <w:rFonts w:ascii="Calibri" w:hAnsi="Calibri"/>
        <w:color w:val="9EA1A3"/>
        <w:w w:val="90"/>
        <w:sz w:val="12"/>
        <w:szCs w:val="12"/>
      </w:rPr>
      <w:t>H</w:t>
    </w:r>
    <w:r w:rsidRPr="001C46C5">
      <w:rPr>
        <w:rFonts w:ascii="Calibri" w:hAnsi="Calibri"/>
        <w:color w:val="9EA1A3"/>
        <w:spacing w:val="4"/>
        <w:w w:val="90"/>
        <w:sz w:val="12"/>
        <w:szCs w:val="12"/>
        <w:lang w:val="ru-RU"/>
      </w:rPr>
      <w:t xml:space="preserve"> </w:t>
    </w:r>
    <w:r w:rsidRPr="001C46C5">
      <w:rPr>
        <w:rFonts w:ascii="Calibri" w:hAnsi="Calibri"/>
        <w:color w:val="9EA1A3"/>
        <w:w w:val="90"/>
        <w:sz w:val="12"/>
        <w:szCs w:val="12"/>
      </w:rPr>
      <w:t>C</w:t>
    </w:r>
    <w:r w:rsidRPr="001C46C5">
      <w:rPr>
        <w:rFonts w:ascii="Calibri" w:hAnsi="Calibri"/>
        <w:color w:val="9EA1A3"/>
        <w:spacing w:val="17"/>
        <w:w w:val="90"/>
        <w:sz w:val="12"/>
        <w:szCs w:val="12"/>
        <w:lang w:val="ru-RU"/>
      </w:rPr>
      <w:t xml:space="preserve"> </w:t>
    </w:r>
    <w:r w:rsidRPr="001C46C5">
      <w:rPr>
        <w:rFonts w:ascii="Calibri" w:hAnsi="Calibri" w:cs="Cambria"/>
        <w:color w:val="9EA1A3"/>
        <w:spacing w:val="17"/>
        <w:w w:val="90"/>
        <w:sz w:val="12"/>
        <w:szCs w:val="12"/>
        <w:lang w:val="ru-RU"/>
      </w:rPr>
      <w:t>А</w:t>
    </w:r>
    <w:r w:rsidRPr="001C46C5">
      <w:rPr>
        <w:rFonts w:ascii="Calibri" w:hAnsi="Calibri"/>
        <w:color w:val="9EA1A3"/>
        <w:spacing w:val="17"/>
        <w:w w:val="90"/>
        <w:sz w:val="12"/>
        <w:szCs w:val="12"/>
        <w:lang w:val="ru-RU"/>
      </w:rPr>
      <w:t xml:space="preserve"> </w:t>
    </w:r>
    <w:r w:rsidRPr="001C46C5">
      <w:rPr>
        <w:rFonts w:ascii="Calibri" w:hAnsi="Calibri" w:cs="Cambria"/>
        <w:color w:val="9EA1A3"/>
        <w:spacing w:val="17"/>
        <w:w w:val="90"/>
        <w:sz w:val="12"/>
        <w:szCs w:val="12"/>
        <w:lang w:val="ru-RU"/>
      </w:rPr>
      <w:t>Л</w:t>
    </w:r>
    <w:r w:rsidRPr="001C46C5">
      <w:rPr>
        <w:rFonts w:ascii="Calibri" w:hAnsi="Calibri"/>
        <w:color w:val="9EA1A3"/>
        <w:spacing w:val="17"/>
        <w:w w:val="90"/>
        <w:sz w:val="12"/>
        <w:szCs w:val="12"/>
        <w:lang w:val="ru-RU"/>
      </w:rPr>
      <w:t xml:space="preserve"> </w:t>
    </w:r>
    <w:r w:rsidRPr="001C46C5">
      <w:rPr>
        <w:rFonts w:ascii="Calibri" w:hAnsi="Calibri" w:cs="Cambria"/>
        <w:color w:val="9EA1A3"/>
        <w:spacing w:val="17"/>
        <w:w w:val="90"/>
        <w:sz w:val="12"/>
        <w:szCs w:val="12"/>
        <w:lang w:val="ru-RU"/>
      </w:rPr>
      <w:t>Т</w:t>
    </w:r>
    <w:r w:rsidRPr="001C46C5">
      <w:rPr>
        <w:rFonts w:ascii="Calibri" w:hAnsi="Calibri"/>
        <w:color w:val="9EA1A3"/>
        <w:spacing w:val="17"/>
        <w:w w:val="90"/>
        <w:sz w:val="12"/>
        <w:szCs w:val="12"/>
        <w:lang w:val="ru-RU"/>
      </w:rPr>
      <w:t xml:space="preserve"> </w:t>
    </w:r>
    <w:r w:rsidRPr="001C46C5">
      <w:rPr>
        <w:rFonts w:ascii="Calibri" w:hAnsi="Calibri" w:cs="Calibri"/>
        <w:color w:val="9EA1A3"/>
        <w:spacing w:val="17"/>
        <w:w w:val="90"/>
        <w:sz w:val="12"/>
        <w:szCs w:val="12"/>
        <w:lang w:val="ru-RU"/>
      </w:rPr>
      <w:t>И</w:t>
    </w:r>
    <w:r w:rsidRPr="001C46C5">
      <w:rPr>
        <w:rFonts w:ascii="Calibri" w:hAnsi="Calibri"/>
        <w:color w:val="9EA1A3"/>
        <w:spacing w:val="17"/>
        <w:w w:val="90"/>
        <w:sz w:val="12"/>
        <w:szCs w:val="12"/>
        <w:lang w:val="ru-RU"/>
      </w:rPr>
      <w:t xml:space="preserve"> </w:t>
    </w:r>
    <w:r w:rsidRPr="001C46C5">
      <w:rPr>
        <w:rFonts w:ascii="Calibri" w:hAnsi="Calibri" w:cs="Calibri"/>
        <w:color w:val="9EA1A3"/>
        <w:spacing w:val="17"/>
        <w:w w:val="90"/>
        <w:sz w:val="12"/>
        <w:szCs w:val="12"/>
        <w:lang w:val="ru-RU"/>
      </w:rPr>
      <w:t>Н</w:t>
    </w:r>
    <w:r w:rsidRPr="001C46C5">
      <w:rPr>
        <w:rFonts w:ascii="Calibri" w:hAnsi="Calibri"/>
        <w:color w:val="9EA1A3"/>
        <w:spacing w:val="17"/>
        <w:w w:val="90"/>
        <w:sz w:val="12"/>
        <w:szCs w:val="12"/>
        <w:lang w:val="ru-RU"/>
      </w:rPr>
      <w:t xml:space="preserve"> </w:t>
    </w:r>
    <w:r w:rsidRPr="001C46C5">
      <w:rPr>
        <w:rFonts w:ascii="Calibri" w:hAnsi="Calibri" w:cs="Calibri"/>
        <w:color w:val="9EA1A3"/>
        <w:spacing w:val="17"/>
        <w:w w:val="90"/>
        <w:sz w:val="12"/>
        <w:szCs w:val="12"/>
        <w:lang w:val="ru-RU"/>
      </w:rPr>
      <w:t>Г</w:t>
    </w:r>
  </w:p>
  <w:p w:rsidR="00FF4FC0" w:rsidRPr="00D80B01" w:rsidRDefault="00E62A26" w:rsidP="00D80B01">
    <w:pPr>
      <w:pStyle w:val="a6"/>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26"/>
    <w:rsid w:val="00116CA1"/>
    <w:rsid w:val="00626C09"/>
    <w:rsid w:val="00C92586"/>
    <w:rsid w:val="00E35C77"/>
    <w:rsid w:val="00E6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26"/>
    <w:pPr>
      <w:widowControl w:val="0"/>
    </w:pPr>
    <w:rPr>
      <w:rFonts w:ascii="Calibri" w:hAnsi="Calibri"/>
      <w:sz w:val="22"/>
      <w:szCs w:val="22"/>
      <w:lang w:val="en-US"/>
    </w:rPr>
  </w:style>
  <w:style w:type="paragraph" w:styleId="1">
    <w:name w:val="heading 1"/>
    <w:basedOn w:val="a"/>
    <w:link w:val="10"/>
    <w:uiPriority w:val="99"/>
    <w:qFormat/>
    <w:rsid w:val="00E62A26"/>
    <w:pPr>
      <w:ind w:left="20"/>
      <w:outlineLvl w:val="0"/>
    </w:pPr>
    <w:rPr>
      <w:rFonts w:ascii="Times New Roman" w:eastAsia="Calibri" w:hAnsi="Times New Roman"/>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CA1"/>
    <w:pPr>
      <w:autoSpaceDE w:val="0"/>
      <w:autoSpaceDN w:val="0"/>
      <w:adjustRightInd w:val="0"/>
      <w:ind w:left="708"/>
    </w:pPr>
    <w:rPr>
      <w:rFonts w:ascii="Times New Roman" w:hAnsi="Times New Roman"/>
      <w:sz w:val="20"/>
      <w:szCs w:val="20"/>
      <w:lang w:val="ru-RU" w:eastAsia="ru-RU"/>
    </w:rPr>
  </w:style>
  <w:style w:type="character" w:customStyle="1" w:styleId="10">
    <w:name w:val="Заголовок 1 Знак"/>
    <w:basedOn w:val="a0"/>
    <w:link w:val="1"/>
    <w:uiPriority w:val="99"/>
    <w:rsid w:val="00E62A26"/>
    <w:rPr>
      <w:rFonts w:eastAsia="Calibri"/>
      <w:sz w:val="17"/>
      <w:szCs w:val="17"/>
      <w:lang w:val="en-US"/>
    </w:rPr>
  </w:style>
  <w:style w:type="paragraph" w:styleId="a4">
    <w:name w:val="Body Text"/>
    <w:basedOn w:val="a"/>
    <w:link w:val="a5"/>
    <w:uiPriority w:val="99"/>
    <w:rsid w:val="00E62A26"/>
    <w:pPr>
      <w:spacing w:before="22"/>
    </w:pPr>
    <w:rPr>
      <w:rFonts w:ascii="Arial" w:hAnsi="Arial"/>
      <w:sz w:val="15"/>
      <w:szCs w:val="15"/>
    </w:rPr>
  </w:style>
  <w:style w:type="character" w:customStyle="1" w:styleId="a5">
    <w:name w:val="Основной текст Знак"/>
    <w:basedOn w:val="a0"/>
    <w:link w:val="a4"/>
    <w:uiPriority w:val="99"/>
    <w:rsid w:val="00E62A26"/>
    <w:rPr>
      <w:rFonts w:ascii="Arial" w:hAnsi="Arial"/>
      <w:sz w:val="15"/>
      <w:szCs w:val="15"/>
      <w:lang w:val="en-US"/>
    </w:rPr>
  </w:style>
  <w:style w:type="paragraph" w:styleId="a6">
    <w:name w:val="header"/>
    <w:basedOn w:val="a"/>
    <w:link w:val="a7"/>
    <w:uiPriority w:val="99"/>
    <w:rsid w:val="00E62A26"/>
    <w:pPr>
      <w:tabs>
        <w:tab w:val="center" w:pos="4819"/>
        <w:tab w:val="right" w:pos="9639"/>
      </w:tabs>
    </w:pPr>
  </w:style>
  <w:style w:type="character" w:customStyle="1" w:styleId="a7">
    <w:name w:val="Верхний колонтитул Знак"/>
    <w:basedOn w:val="a0"/>
    <w:link w:val="a6"/>
    <w:uiPriority w:val="99"/>
    <w:rsid w:val="00E62A26"/>
    <w:rPr>
      <w:rFonts w:ascii="Calibri" w:hAnsi="Calibri"/>
      <w:sz w:val="22"/>
      <w:szCs w:val="22"/>
      <w:lang w:val="en-US"/>
    </w:rPr>
  </w:style>
  <w:style w:type="paragraph" w:styleId="a8">
    <w:name w:val="footer"/>
    <w:basedOn w:val="a"/>
    <w:link w:val="a9"/>
    <w:uiPriority w:val="99"/>
    <w:rsid w:val="00E62A26"/>
    <w:pPr>
      <w:tabs>
        <w:tab w:val="center" w:pos="4819"/>
        <w:tab w:val="right" w:pos="9639"/>
      </w:tabs>
    </w:pPr>
  </w:style>
  <w:style w:type="character" w:customStyle="1" w:styleId="a9">
    <w:name w:val="Нижний колонтитул Знак"/>
    <w:basedOn w:val="a0"/>
    <w:link w:val="a8"/>
    <w:uiPriority w:val="99"/>
    <w:rsid w:val="00E62A26"/>
    <w:rPr>
      <w:rFonts w:ascii="Calibri" w:hAnsi="Calibri"/>
      <w:sz w:val="22"/>
      <w:szCs w:val="22"/>
      <w:lang w:val="en-US"/>
    </w:rPr>
  </w:style>
  <w:style w:type="paragraph" w:styleId="aa">
    <w:name w:val="Body Text Indent"/>
    <w:basedOn w:val="a"/>
    <w:link w:val="ab"/>
    <w:uiPriority w:val="99"/>
    <w:semiHidden/>
    <w:rsid w:val="00E62A26"/>
    <w:pPr>
      <w:spacing w:after="120"/>
      <w:ind w:left="283"/>
    </w:pPr>
  </w:style>
  <w:style w:type="character" w:customStyle="1" w:styleId="ab">
    <w:name w:val="Основной текст с отступом Знак"/>
    <w:basedOn w:val="a0"/>
    <w:link w:val="aa"/>
    <w:uiPriority w:val="99"/>
    <w:semiHidden/>
    <w:rsid w:val="00E62A26"/>
    <w:rPr>
      <w:rFonts w:ascii="Calibri" w:hAnsi="Calibri"/>
      <w:sz w:val="22"/>
      <w:szCs w:val="22"/>
      <w:lang w:val="en-US"/>
    </w:rPr>
  </w:style>
  <w:style w:type="character" w:customStyle="1" w:styleId="longtext">
    <w:name w:val="long_text"/>
    <w:uiPriority w:val="99"/>
    <w:rsid w:val="00E62A26"/>
    <w:rPr>
      <w:rFonts w:cs="Times New Roman"/>
    </w:rPr>
  </w:style>
  <w:style w:type="paragraph" w:styleId="ac">
    <w:name w:val="Balloon Text"/>
    <w:basedOn w:val="a"/>
    <w:link w:val="ad"/>
    <w:uiPriority w:val="99"/>
    <w:semiHidden/>
    <w:unhideWhenUsed/>
    <w:rsid w:val="00E62A26"/>
    <w:rPr>
      <w:rFonts w:ascii="Tahoma" w:hAnsi="Tahoma" w:cs="Tahoma"/>
      <w:sz w:val="16"/>
      <w:szCs w:val="16"/>
    </w:rPr>
  </w:style>
  <w:style w:type="character" w:customStyle="1" w:styleId="ad">
    <w:name w:val="Текст выноски Знак"/>
    <w:basedOn w:val="a0"/>
    <w:link w:val="ac"/>
    <w:uiPriority w:val="99"/>
    <w:semiHidden/>
    <w:rsid w:val="00E62A2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26"/>
    <w:pPr>
      <w:widowControl w:val="0"/>
    </w:pPr>
    <w:rPr>
      <w:rFonts w:ascii="Calibri" w:hAnsi="Calibri"/>
      <w:sz w:val="22"/>
      <w:szCs w:val="22"/>
      <w:lang w:val="en-US"/>
    </w:rPr>
  </w:style>
  <w:style w:type="paragraph" w:styleId="1">
    <w:name w:val="heading 1"/>
    <w:basedOn w:val="a"/>
    <w:link w:val="10"/>
    <w:uiPriority w:val="99"/>
    <w:qFormat/>
    <w:rsid w:val="00E62A26"/>
    <w:pPr>
      <w:ind w:left="20"/>
      <w:outlineLvl w:val="0"/>
    </w:pPr>
    <w:rPr>
      <w:rFonts w:ascii="Times New Roman" w:eastAsia="Calibri" w:hAnsi="Times New Roman"/>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CA1"/>
    <w:pPr>
      <w:autoSpaceDE w:val="0"/>
      <w:autoSpaceDN w:val="0"/>
      <w:adjustRightInd w:val="0"/>
      <w:ind w:left="708"/>
    </w:pPr>
    <w:rPr>
      <w:rFonts w:ascii="Times New Roman" w:hAnsi="Times New Roman"/>
      <w:sz w:val="20"/>
      <w:szCs w:val="20"/>
      <w:lang w:val="ru-RU" w:eastAsia="ru-RU"/>
    </w:rPr>
  </w:style>
  <w:style w:type="character" w:customStyle="1" w:styleId="10">
    <w:name w:val="Заголовок 1 Знак"/>
    <w:basedOn w:val="a0"/>
    <w:link w:val="1"/>
    <w:uiPriority w:val="99"/>
    <w:rsid w:val="00E62A26"/>
    <w:rPr>
      <w:rFonts w:eastAsia="Calibri"/>
      <w:sz w:val="17"/>
      <w:szCs w:val="17"/>
      <w:lang w:val="en-US"/>
    </w:rPr>
  </w:style>
  <w:style w:type="paragraph" w:styleId="a4">
    <w:name w:val="Body Text"/>
    <w:basedOn w:val="a"/>
    <w:link w:val="a5"/>
    <w:uiPriority w:val="99"/>
    <w:rsid w:val="00E62A26"/>
    <w:pPr>
      <w:spacing w:before="22"/>
    </w:pPr>
    <w:rPr>
      <w:rFonts w:ascii="Arial" w:hAnsi="Arial"/>
      <w:sz w:val="15"/>
      <w:szCs w:val="15"/>
    </w:rPr>
  </w:style>
  <w:style w:type="character" w:customStyle="1" w:styleId="a5">
    <w:name w:val="Основной текст Знак"/>
    <w:basedOn w:val="a0"/>
    <w:link w:val="a4"/>
    <w:uiPriority w:val="99"/>
    <w:rsid w:val="00E62A26"/>
    <w:rPr>
      <w:rFonts w:ascii="Arial" w:hAnsi="Arial"/>
      <w:sz w:val="15"/>
      <w:szCs w:val="15"/>
      <w:lang w:val="en-US"/>
    </w:rPr>
  </w:style>
  <w:style w:type="paragraph" w:styleId="a6">
    <w:name w:val="header"/>
    <w:basedOn w:val="a"/>
    <w:link w:val="a7"/>
    <w:uiPriority w:val="99"/>
    <w:rsid w:val="00E62A26"/>
    <w:pPr>
      <w:tabs>
        <w:tab w:val="center" w:pos="4819"/>
        <w:tab w:val="right" w:pos="9639"/>
      </w:tabs>
    </w:pPr>
  </w:style>
  <w:style w:type="character" w:customStyle="1" w:styleId="a7">
    <w:name w:val="Верхний колонтитул Знак"/>
    <w:basedOn w:val="a0"/>
    <w:link w:val="a6"/>
    <w:uiPriority w:val="99"/>
    <w:rsid w:val="00E62A26"/>
    <w:rPr>
      <w:rFonts w:ascii="Calibri" w:hAnsi="Calibri"/>
      <w:sz w:val="22"/>
      <w:szCs w:val="22"/>
      <w:lang w:val="en-US"/>
    </w:rPr>
  </w:style>
  <w:style w:type="paragraph" w:styleId="a8">
    <w:name w:val="footer"/>
    <w:basedOn w:val="a"/>
    <w:link w:val="a9"/>
    <w:uiPriority w:val="99"/>
    <w:rsid w:val="00E62A26"/>
    <w:pPr>
      <w:tabs>
        <w:tab w:val="center" w:pos="4819"/>
        <w:tab w:val="right" w:pos="9639"/>
      </w:tabs>
    </w:pPr>
  </w:style>
  <w:style w:type="character" w:customStyle="1" w:styleId="a9">
    <w:name w:val="Нижний колонтитул Знак"/>
    <w:basedOn w:val="a0"/>
    <w:link w:val="a8"/>
    <w:uiPriority w:val="99"/>
    <w:rsid w:val="00E62A26"/>
    <w:rPr>
      <w:rFonts w:ascii="Calibri" w:hAnsi="Calibri"/>
      <w:sz w:val="22"/>
      <w:szCs w:val="22"/>
      <w:lang w:val="en-US"/>
    </w:rPr>
  </w:style>
  <w:style w:type="paragraph" w:styleId="aa">
    <w:name w:val="Body Text Indent"/>
    <w:basedOn w:val="a"/>
    <w:link w:val="ab"/>
    <w:uiPriority w:val="99"/>
    <w:semiHidden/>
    <w:rsid w:val="00E62A26"/>
    <w:pPr>
      <w:spacing w:after="120"/>
      <w:ind w:left="283"/>
    </w:pPr>
  </w:style>
  <w:style w:type="character" w:customStyle="1" w:styleId="ab">
    <w:name w:val="Основной текст с отступом Знак"/>
    <w:basedOn w:val="a0"/>
    <w:link w:val="aa"/>
    <w:uiPriority w:val="99"/>
    <w:semiHidden/>
    <w:rsid w:val="00E62A26"/>
    <w:rPr>
      <w:rFonts w:ascii="Calibri" w:hAnsi="Calibri"/>
      <w:sz w:val="22"/>
      <w:szCs w:val="22"/>
      <w:lang w:val="en-US"/>
    </w:rPr>
  </w:style>
  <w:style w:type="character" w:customStyle="1" w:styleId="longtext">
    <w:name w:val="long_text"/>
    <w:uiPriority w:val="99"/>
    <w:rsid w:val="00E62A26"/>
    <w:rPr>
      <w:rFonts w:cs="Times New Roman"/>
    </w:rPr>
  </w:style>
  <w:style w:type="paragraph" w:styleId="ac">
    <w:name w:val="Balloon Text"/>
    <w:basedOn w:val="a"/>
    <w:link w:val="ad"/>
    <w:uiPriority w:val="99"/>
    <w:semiHidden/>
    <w:unhideWhenUsed/>
    <w:rsid w:val="00E62A26"/>
    <w:rPr>
      <w:rFonts w:ascii="Tahoma" w:hAnsi="Tahoma" w:cs="Tahoma"/>
      <w:sz w:val="16"/>
      <w:szCs w:val="16"/>
    </w:rPr>
  </w:style>
  <w:style w:type="character" w:customStyle="1" w:styleId="ad">
    <w:name w:val="Текст выноски Знак"/>
    <w:basedOn w:val="a0"/>
    <w:link w:val="ac"/>
    <w:uiPriority w:val="99"/>
    <w:semiHidden/>
    <w:rsid w:val="00E62A2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1373</Words>
  <Characters>7831</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/АУДИТОРСЬКИЙ ВИСНОВОК (ЗВІТ НЕЗАЛЕЖНОГО АУДИТОРА)</vt:lpstr>
    </vt:vector>
  </TitlesOfParts>
  <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Павловна Безык</dc:creator>
  <cp:lastModifiedBy>Анна Павловна Безык</cp:lastModifiedBy>
  <cp:revision>1</cp:revision>
  <dcterms:created xsi:type="dcterms:W3CDTF">2016-04-26T06:23:00Z</dcterms:created>
  <dcterms:modified xsi:type="dcterms:W3CDTF">2016-04-26T06:25:00Z</dcterms:modified>
</cp:coreProperties>
</file>